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EC5972D" w:rsidR="00331FA1" w:rsidRPr="00F31741" w:rsidRDefault="00000000" w:rsidP="00E11356">
      <w:pPr>
        <w:tabs>
          <w:tab w:val="left" w:pos="4102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F3174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Section </w:t>
      </w:r>
      <w:r w:rsidR="00BC76A1" w:rsidRPr="00F31741">
        <w:rPr>
          <w:rFonts w:asciiTheme="majorHAnsi" w:hAnsiTheme="majorHAnsi" w:cstheme="majorHAnsi"/>
          <w:b/>
          <w:color w:val="000000"/>
          <w:sz w:val="22"/>
          <w:szCs w:val="22"/>
        </w:rPr>
        <w:t>7</w:t>
      </w:r>
      <w:r w:rsidRPr="00F3174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: </w:t>
      </w:r>
      <w:r w:rsidR="00BC76A1" w:rsidRPr="00F31741">
        <w:rPr>
          <w:rFonts w:asciiTheme="majorHAnsi" w:hAnsiTheme="majorHAnsi" w:cstheme="majorHAnsi"/>
          <w:b/>
          <w:color w:val="000000"/>
          <w:sz w:val="22"/>
          <w:szCs w:val="22"/>
        </w:rPr>
        <w:t>BHI Workflows</w:t>
      </w:r>
      <w:r w:rsidR="00930133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</w:p>
    <w:p w14:paraId="00000002" w14:textId="0CB5A31D" w:rsidR="00331FA1" w:rsidRPr="00F31741" w:rsidRDefault="2C6CE619" w:rsidP="00E11356">
      <w:pPr>
        <w:pStyle w:val="ListParagraph"/>
        <w:numPr>
          <w:ilvl w:val="0"/>
          <w:numId w:val="6"/>
        </w:numPr>
        <w:spacing w:line="259" w:lineRule="auto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Hlk155610283"/>
      <w:r w:rsidRPr="00F3174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Objective</w:t>
      </w:r>
      <w:r w:rsidRPr="00F31741">
        <w:rPr>
          <w:rFonts w:asciiTheme="majorHAnsi" w:hAnsiTheme="majorHAnsi" w:cstheme="majorHAnsi"/>
          <w:color w:val="000000" w:themeColor="text1"/>
          <w:sz w:val="22"/>
          <w:szCs w:val="22"/>
        </w:rPr>
        <w:t>: Create BHI workflow</w:t>
      </w:r>
      <w:r w:rsidR="00D26B54">
        <w:rPr>
          <w:rFonts w:asciiTheme="majorHAnsi" w:hAnsiTheme="majorHAnsi" w:cstheme="majorHAnsi"/>
          <w:color w:val="000000" w:themeColor="text1"/>
          <w:sz w:val="22"/>
          <w:szCs w:val="22"/>
        </w:rPr>
        <w:t>s for the pilot site,</w:t>
      </w:r>
      <w:r w:rsidRPr="00F317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DF3DD9">
        <w:rPr>
          <w:rFonts w:asciiTheme="majorHAnsi" w:hAnsiTheme="majorHAnsi" w:cstheme="majorHAnsi"/>
          <w:color w:val="000000" w:themeColor="text1"/>
          <w:sz w:val="22"/>
          <w:szCs w:val="22"/>
        </w:rPr>
        <w:t>by</w:t>
      </w:r>
      <w:r w:rsidRPr="00F3174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identifying role and responsibility for each team member </w:t>
      </w:r>
      <w:r w:rsidR="00CC5243" w:rsidRPr="00F31741">
        <w:rPr>
          <w:rFonts w:asciiTheme="majorHAnsi" w:hAnsiTheme="majorHAnsi" w:cstheme="majorHAnsi"/>
          <w:color w:val="000000" w:themeColor="text1"/>
          <w:sz w:val="22"/>
          <w:szCs w:val="22"/>
        </w:rPr>
        <w:t>while leveraging current clinic workflows</w:t>
      </w:r>
    </w:p>
    <w:p w14:paraId="419F4E34" w14:textId="79154E5D" w:rsidR="00C471C7" w:rsidRPr="00CC5243" w:rsidRDefault="00000000" w:rsidP="00E113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bookmarkStart w:id="2" w:name="_Hlk155189830"/>
      <w:r w:rsidRPr="00F31741">
        <w:rPr>
          <w:rFonts w:asciiTheme="majorHAnsi" w:hAnsiTheme="majorHAnsi" w:cstheme="majorHAnsi"/>
          <w:color w:val="000000"/>
          <w:sz w:val="22"/>
          <w:szCs w:val="22"/>
        </w:rPr>
        <w:t xml:space="preserve">Due by </w:t>
      </w:r>
      <w:r w:rsidR="001F7724" w:rsidRPr="00F31741">
        <w:rPr>
          <w:rFonts w:asciiTheme="majorHAnsi" w:hAnsiTheme="majorHAnsi" w:cstheme="majorHAnsi"/>
          <w:color w:val="000000"/>
          <w:sz w:val="22"/>
          <w:szCs w:val="22"/>
        </w:rPr>
        <w:t>Friday</w:t>
      </w:r>
      <w:r w:rsidRPr="00F31741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1F7724" w:rsidRPr="00F31741">
        <w:rPr>
          <w:rFonts w:asciiTheme="majorHAnsi" w:hAnsiTheme="majorHAnsi" w:cstheme="majorHAnsi"/>
          <w:color w:val="000000"/>
          <w:sz w:val="22"/>
          <w:szCs w:val="22"/>
        </w:rPr>
        <w:t>June 28</w:t>
      </w:r>
      <w:r w:rsidRPr="00F31741">
        <w:rPr>
          <w:rFonts w:asciiTheme="majorHAnsi" w:hAnsiTheme="majorHAnsi" w:cstheme="majorHAnsi"/>
          <w:color w:val="000000"/>
          <w:sz w:val="22"/>
          <w:szCs w:val="22"/>
        </w:rPr>
        <w:t xml:space="preserve"> to your Improvement Advisor</w:t>
      </w:r>
      <w:r w:rsidRPr="00F31741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</w:p>
    <w:p w14:paraId="29455867" w14:textId="45D4F106" w:rsidR="00CC5243" w:rsidRDefault="00CC5243" w:rsidP="00E1135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u w:val="single"/>
        </w:rPr>
        <w:t>Resources:</w:t>
      </w:r>
      <w:r w:rsidRPr="00CC5243">
        <w:rPr>
          <w:rFonts w:asciiTheme="majorHAnsi" w:hAnsiTheme="majorHAnsi" w:cstheme="majorHAnsi"/>
          <w:color w:val="000000"/>
          <w:sz w:val="22"/>
          <w:szCs w:val="22"/>
        </w:rPr>
        <w:t xml:space="preserve"> Many resources are on the CalHIVE BHI </w:t>
      </w:r>
      <w:hyperlink r:id="rId9" w:anchor="learn" w:history="1">
        <w:hyperlink r:id="rId10" w:anchor="lear" w:history="1">
          <w:hyperlink r:id="rId11" w:anchor="learn:~:text=deck%3B%20Webinar%20recording-,Learn,-Access%20a%20rich" w:history="1">
            <w:r w:rsidRPr="00E11356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website</w:t>
            </w:r>
          </w:hyperlink>
        </w:hyperlink>
      </w:hyperlink>
      <w:r w:rsidRPr="00CC5243">
        <w:rPr>
          <w:rFonts w:asciiTheme="majorHAnsi" w:hAnsiTheme="majorHAnsi" w:cstheme="majorHAnsi"/>
          <w:color w:val="000000"/>
          <w:sz w:val="22"/>
          <w:szCs w:val="22"/>
        </w:rPr>
        <w:t xml:space="preserve"> (Learn)</w:t>
      </w:r>
    </w:p>
    <w:bookmarkEnd w:id="1"/>
    <w:bookmarkEnd w:id="2"/>
    <w:p w14:paraId="00000006" w14:textId="13AEF295" w:rsidR="00331FA1" w:rsidRPr="00456F1B" w:rsidRDefault="00331FA1" w:rsidP="00E1135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"/>
        <w:tblW w:w="100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7"/>
        <w:gridCol w:w="3053"/>
      </w:tblGrid>
      <w:tr w:rsidR="00331FA1" w:rsidRPr="00456F1B" w14:paraId="10BD60E4" w14:textId="77777777" w:rsidTr="00863F91">
        <w:trPr>
          <w:tblHeader/>
        </w:trPr>
        <w:tc>
          <w:tcPr>
            <w:tcW w:w="7027" w:type="dxa"/>
            <w:shd w:val="clear" w:color="auto" w:fill="595959" w:themeFill="text1" w:themeFillTint="A6"/>
          </w:tcPr>
          <w:p w14:paraId="00000007" w14:textId="0E5828B3" w:rsidR="00331FA1" w:rsidRPr="00456F1B" w:rsidRDefault="0000000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Area</w:t>
            </w:r>
          </w:p>
        </w:tc>
        <w:tc>
          <w:tcPr>
            <w:tcW w:w="3053" w:type="dxa"/>
            <w:shd w:val="clear" w:color="auto" w:fill="595959" w:themeFill="text1" w:themeFillTint="A6"/>
          </w:tcPr>
          <w:p w14:paraId="00000008" w14:textId="77777777" w:rsidR="00331FA1" w:rsidRPr="00456F1B" w:rsidRDefault="0000000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Team Response</w:t>
            </w:r>
          </w:p>
        </w:tc>
      </w:tr>
      <w:tr w:rsidR="00331FA1" w:rsidRPr="00456F1B" w14:paraId="4C3ACB31" w14:textId="77777777" w:rsidTr="00CC5243">
        <w:tc>
          <w:tcPr>
            <w:tcW w:w="7027" w:type="dxa"/>
            <w:shd w:val="clear" w:color="auto" w:fill="AAADAD"/>
          </w:tcPr>
          <w:p w14:paraId="00000009" w14:textId="77777777" w:rsidR="00331FA1" w:rsidRPr="00456F1B" w:rsidRDefault="00000000" w:rsidP="00E11356">
            <w:pPr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Key Questions</w:t>
            </w:r>
          </w:p>
        </w:tc>
        <w:tc>
          <w:tcPr>
            <w:tcW w:w="3053" w:type="dxa"/>
            <w:shd w:val="clear" w:color="auto" w:fill="AAADAD"/>
          </w:tcPr>
          <w:p w14:paraId="0000000A" w14:textId="77777777" w:rsidR="00331FA1" w:rsidRPr="00456F1B" w:rsidRDefault="00331FA1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</w:pPr>
          </w:p>
        </w:tc>
      </w:tr>
      <w:tr w:rsidR="00331FA1" w:rsidRPr="00456F1B" w14:paraId="0691F1C4" w14:textId="77777777" w:rsidTr="00CC5243">
        <w:tc>
          <w:tcPr>
            <w:tcW w:w="7027" w:type="dxa"/>
            <w:shd w:val="clear" w:color="auto" w:fill="AAADAD"/>
          </w:tcPr>
          <w:p w14:paraId="00000013" w14:textId="5CDA56F0" w:rsidR="00BC76A1" w:rsidRPr="00456F1B" w:rsidRDefault="00BC76A1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Understanding the Team </w:t>
            </w:r>
          </w:p>
        </w:tc>
        <w:tc>
          <w:tcPr>
            <w:tcW w:w="3053" w:type="dxa"/>
            <w:shd w:val="clear" w:color="auto" w:fill="AAADAD"/>
          </w:tcPr>
          <w:p w14:paraId="00000014" w14:textId="77777777" w:rsidR="00331FA1" w:rsidRPr="00456F1B" w:rsidRDefault="0000000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color w:val="ED7D31"/>
                <w:sz w:val="22"/>
                <w:szCs w:val="22"/>
              </w:rPr>
              <w:t xml:space="preserve"> </w:t>
            </w:r>
          </w:p>
        </w:tc>
      </w:tr>
      <w:tr w:rsidR="00456F1B" w:rsidRPr="00456F1B" w14:paraId="0FE095C2" w14:textId="77777777" w:rsidTr="00863F91">
        <w:tc>
          <w:tcPr>
            <w:tcW w:w="7027" w:type="dxa"/>
            <w:shd w:val="clear" w:color="auto" w:fill="FFFFFF" w:themeFill="background1"/>
          </w:tcPr>
          <w:p w14:paraId="39C6E4AE" w14:textId="6C7D15F5" w:rsidR="00456F1B" w:rsidRPr="00456F1B" w:rsidRDefault="00456F1B" w:rsidP="00E1135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</w:t>
            </w:r>
            <w:r w:rsidR="00D26B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 are the workflow owners (those that will oversee the workflow and make changes)?</w:t>
            </w:r>
          </w:p>
        </w:tc>
        <w:tc>
          <w:tcPr>
            <w:tcW w:w="3053" w:type="dxa"/>
            <w:shd w:val="clear" w:color="auto" w:fill="FFFFFF" w:themeFill="background1"/>
          </w:tcPr>
          <w:p w14:paraId="1E3FC7CC" w14:textId="5A041384" w:rsidR="00456F1B" w:rsidRPr="00DE42AA" w:rsidRDefault="00456F1B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</w:p>
        </w:tc>
      </w:tr>
      <w:tr w:rsidR="00456F1B" w:rsidRPr="00456F1B" w14:paraId="637432CF" w14:textId="77777777" w:rsidTr="00863F91">
        <w:tc>
          <w:tcPr>
            <w:tcW w:w="7027" w:type="dxa"/>
            <w:shd w:val="clear" w:color="auto" w:fill="FFFFFF" w:themeFill="background1"/>
          </w:tcPr>
          <w:p w14:paraId="00C0D18E" w14:textId="55104823" w:rsidR="00456F1B" w:rsidRPr="00456F1B" w:rsidRDefault="00C471C7" w:rsidP="00E1135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</w:t>
            </w:r>
            <w:r w:rsidR="003C1C1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 are the workflow implementers (those that will be doing the work)?</w:t>
            </w:r>
          </w:p>
        </w:tc>
        <w:tc>
          <w:tcPr>
            <w:tcW w:w="3053" w:type="dxa"/>
            <w:shd w:val="clear" w:color="auto" w:fill="FFFFFF" w:themeFill="background1"/>
          </w:tcPr>
          <w:p w14:paraId="0033EF69" w14:textId="77777777" w:rsidR="00456F1B" w:rsidRPr="00456F1B" w:rsidRDefault="00456F1B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</w:p>
        </w:tc>
      </w:tr>
      <w:tr w:rsidR="00C471C7" w:rsidRPr="00456F1B" w14:paraId="5F03FCF8" w14:textId="77777777" w:rsidTr="00863F91">
        <w:tc>
          <w:tcPr>
            <w:tcW w:w="7027" w:type="dxa"/>
            <w:shd w:val="clear" w:color="auto" w:fill="FFFFFF" w:themeFill="background1"/>
          </w:tcPr>
          <w:p w14:paraId="335B5232" w14:textId="20E7A498" w:rsidR="00C471C7" w:rsidRDefault="2C6CE619" w:rsidP="00E1135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color w:val="000000"/>
                <w:sz w:val="22"/>
                <w:szCs w:val="22"/>
              </w:rPr>
            </w:pPr>
            <w:r w:rsidRPr="2C6CE61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What other teams will be involved with </w:t>
            </w:r>
            <w:r w:rsidR="003C1C1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BHI workflows (</w:t>
            </w:r>
            <w:r w:rsidRPr="2C6CE61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i.e.</w:t>
            </w:r>
            <w:r w:rsidR="003C1C1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2C6CE61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front desk, training, finance, quality</w:t>
            </w:r>
            <w:r w:rsidR="00F3174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, data, EHR IT</w:t>
            </w:r>
            <w:r w:rsidR="003C1C1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  <w:r w:rsidRPr="2C6CE61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053" w:type="dxa"/>
            <w:shd w:val="clear" w:color="auto" w:fill="FFFFFF" w:themeFill="background1"/>
          </w:tcPr>
          <w:p w14:paraId="516D0920" w14:textId="77777777" w:rsidR="00C471C7" w:rsidRPr="00456F1B" w:rsidRDefault="00C471C7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</w:p>
        </w:tc>
      </w:tr>
      <w:tr w:rsidR="00456F1B" w:rsidRPr="00456F1B" w14:paraId="200FB61F" w14:textId="77777777" w:rsidTr="00CC5243">
        <w:tc>
          <w:tcPr>
            <w:tcW w:w="7027" w:type="dxa"/>
            <w:shd w:val="clear" w:color="auto" w:fill="AAADAD"/>
          </w:tcPr>
          <w:p w14:paraId="171C0790" w14:textId="0B416363" w:rsidR="00456F1B" w:rsidRPr="00C471C7" w:rsidRDefault="00C471C7" w:rsidP="00E11356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BHI Workflows</w:t>
            </w:r>
          </w:p>
        </w:tc>
        <w:tc>
          <w:tcPr>
            <w:tcW w:w="3053" w:type="dxa"/>
            <w:shd w:val="clear" w:color="auto" w:fill="AAADAD"/>
          </w:tcPr>
          <w:p w14:paraId="295AEBAB" w14:textId="77777777" w:rsidR="00456F1B" w:rsidRPr="00456F1B" w:rsidRDefault="00456F1B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</w:p>
        </w:tc>
      </w:tr>
      <w:tr w:rsidR="00456F1B" w:rsidRPr="00456F1B" w14:paraId="1AD0F141" w14:textId="77777777" w:rsidTr="00D30938">
        <w:trPr>
          <w:trHeight w:val="2438"/>
        </w:trPr>
        <w:tc>
          <w:tcPr>
            <w:tcW w:w="7027" w:type="dxa"/>
            <w:shd w:val="clear" w:color="auto" w:fill="FFFFFF" w:themeFill="background1"/>
          </w:tcPr>
          <w:p w14:paraId="240350B7" w14:textId="77777777" w:rsidR="00D26B54" w:rsidRPr="00D26B54" w:rsidRDefault="00C424BB" w:rsidP="00E11356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Collect </w:t>
            </w:r>
            <w:r w:rsidR="00C471C7" w:rsidRPr="00D26B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current clinic workflows exist that can be leveraged to incorporate BHI</w:t>
            </w:r>
            <w:r w:rsidRPr="00D26B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including but not limited to:</w:t>
            </w:r>
          </w:p>
          <w:p w14:paraId="4342CD84" w14:textId="182A2612" w:rsidR="00C424BB" w:rsidRPr="00D26B54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 xml:space="preserve">PHQ-9 </w:t>
            </w:r>
          </w:p>
          <w:p w14:paraId="74D314A5" w14:textId="77777777" w:rsidR="00C424BB" w:rsidRPr="00D26B54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>New Patient Initiation</w:t>
            </w:r>
          </w:p>
          <w:p w14:paraId="60CBFA05" w14:textId="77777777" w:rsidR="00C424BB" w:rsidRPr="00D26B54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>Initial Assessment (BHI)</w:t>
            </w:r>
          </w:p>
          <w:p w14:paraId="0C438A3B" w14:textId="77777777" w:rsidR="00C424BB" w:rsidRPr="00D26B54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>Follow-Up Care (Remission and response/closure of the loop)</w:t>
            </w:r>
          </w:p>
          <w:p w14:paraId="161AA8F1" w14:textId="77777777" w:rsidR="00C424BB" w:rsidRPr="00D26B54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>Patient Re-Engagement / Outreach</w:t>
            </w:r>
          </w:p>
          <w:p w14:paraId="3520FA1F" w14:textId="100A2134" w:rsidR="00456F1B" w:rsidRPr="00C424BB" w:rsidRDefault="00C424BB" w:rsidP="00E1135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</w:pPr>
            <w:r w:rsidRPr="00D26B54">
              <w:rPr>
                <w:rFonts w:asciiTheme="majorHAnsi" w:hAnsiTheme="majorHAnsi" w:cstheme="majorHAnsi"/>
                <w:sz w:val="22"/>
                <w:szCs w:val="22"/>
              </w:rPr>
              <w:t>BH Crisis</w:t>
            </w:r>
            <w:r>
              <w:t xml:space="preserve"> </w:t>
            </w:r>
          </w:p>
        </w:tc>
        <w:tc>
          <w:tcPr>
            <w:tcW w:w="3053" w:type="dxa"/>
            <w:shd w:val="clear" w:color="auto" w:fill="FFFFFF" w:themeFill="background1"/>
          </w:tcPr>
          <w:p w14:paraId="4D2836F3" w14:textId="2FE059EC" w:rsidR="00456F1B" w:rsidRPr="00456F1B" w:rsidRDefault="00C424BB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ED7D3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/>
                <w:sz w:val="22"/>
                <w:szCs w:val="22"/>
              </w:rPr>
              <w:t>Link to Box folder with workflows collected for 2024 in-pe</w:t>
            </w:r>
            <w:r w:rsidR="00D30938">
              <w:rPr>
                <w:rFonts w:asciiTheme="majorHAnsi" w:hAnsiTheme="majorHAnsi" w:cstheme="majorHAnsi"/>
                <w:color w:val="ED7D31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color w:val="ED7D31"/>
                <w:sz w:val="22"/>
                <w:szCs w:val="22"/>
              </w:rPr>
              <w:t xml:space="preserve">son convening </w:t>
            </w:r>
          </w:p>
        </w:tc>
      </w:tr>
      <w:tr w:rsidR="00331FA1" w:rsidRPr="00456F1B" w14:paraId="7CBE21A0" w14:textId="77777777" w:rsidTr="00863F91">
        <w:tc>
          <w:tcPr>
            <w:tcW w:w="7027" w:type="dxa"/>
            <w:shd w:val="clear" w:color="auto" w:fill="FFFFFF" w:themeFill="background1"/>
          </w:tcPr>
          <w:p w14:paraId="56CC0C1A" w14:textId="0FB2B492" w:rsidR="006F2F7D" w:rsidRDefault="006F2F7D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Share your</w:t>
            </w:r>
            <w:r w:rsidR="00BC76A1"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BHI </w:t>
            </w:r>
            <w:r w:rsidR="00BC76A1" w:rsidRPr="00C471C7">
              <w:rPr>
                <w:rFonts w:asciiTheme="majorHAnsi" w:hAnsiTheme="majorHAnsi" w:cstheme="majorHAnsi"/>
                <w:sz w:val="22"/>
                <w:szCs w:val="22"/>
              </w:rPr>
              <w:t>workflow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E1135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including</w:t>
            </w:r>
            <w:r w:rsidR="00D309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30143A40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Screening</w:t>
            </w:r>
          </w:p>
          <w:p w14:paraId="04818F0F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Warm-Handoff and Initiation of Care</w:t>
            </w:r>
          </w:p>
          <w:p w14:paraId="1DC4B95C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Initial Assessment</w:t>
            </w:r>
          </w:p>
          <w:p w14:paraId="22E21E1D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Follow-Up Care</w:t>
            </w:r>
          </w:p>
          <w:p w14:paraId="15AF2AAD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Patient Re-Engagement</w:t>
            </w:r>
          </w:p>
          <w:p w14:paraId="0A1C8B7D" w14:textId="77777777" w:rsidR="006F2F7D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Systematic case Review (CoCM only)</w:t>
            </w:r>
          </w:p>
          <w:p w14:paraId="00000026" w14:textId="0248B294" w:rsidR="00D30938" w:rsidRPr="00E11356" w:rsidRDefault="006F2F7D" w:rsidP="00E1135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Relapse Prevention and Discharge (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CoCM</w:t>
            </w:r>
            <w:proofErr w:type="spellEnd"/>
            <w:r w:rsidR="00E1135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only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53" w:type="dxa"/>
            <w:shd w:val="clear" w:color="auto" w:fill="FFFFFF" w:themeFill="background1"/>
          </w:tcPr>
          <w:p w14:paraId="00000027" w14:textId="647D374E" w:rsidR="00331FA1" w:rsidRPr="00456F1B" w:rsidRDefault="006F2F7D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Workflows can be submitted in any format; teams can use this </w:t>
            </w:r>
            <w:hyperlink r:id="rId12" w:history="1">
              <w:r w:rsidR="00930133" w:rsidRPr="00574F8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PPT template</w:t>
              </w:r>
            </w:hyperlink>
            <w:r w:rsidR="009301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</w:t>
            </w:r>
            <w:r w:rsidR="0093013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needed</w:t>
            </w:r>
            <w:r w:rsidR="00CA1CC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30133" w:rsidRPr="00456F1B" w14:paraId="2DA6A955" w14:textId="77777777" w:rsidTr="00CC5243">
        <w:tc>
          <w:tcPr>
            <w:tcW w:w="7027" w:type="dxa"/>
            <w:shd w:val="clear" w:color="auto" w:fill="AAADAD"/>
          </w:tcPr>
          <w:p w14:paraId="1BEDFA62" w14:textId="30C48D89" w:rsidR="00930133" w:rsidRPr="00930133" w:rsidRDefault="003C1C18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Transition to Community Resources </w:t>
            </w:r>
          </w:p>
        </w:tc>
        <w:tc>
          <w:tcPr>
            <w:tcW w:w="3053" w:type="dxa"/>
            <w:shd w:val="clear" w:color="auto" w:fill="AAADAD"/>
          </w:tcPr>
          <w:p w14:paraId="13AB4C9C" w14:textId="77777777" w:rsidR="00930133" w:rsidRPr="00930133" w:rsidRDefault="00930133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930133" w:rsidRPr="00456F1B" w14:paraId="2D8327B3" w14:textId="77777777" w:rsidTr="00863F91">
        <w:tc>
          <w:tcPr>
            <w:tcW w:w="7027" w:type="dxa"/>
            <w:shd w:val="clear" w:color="auto" w:fill="FFFFFF" w:themeFill="background1"/>
          </w:tcPr>
          <w:p w14:paraId="3F3DD9E4" w14:textId="70E636DB" w:rsidR="00930133" w:rsidRPr="00456F1B" w:rsidRDefault="00930133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What </w:t>
            </w:r>
            <w:r w:rsidR="003C1C1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community resource</w:t>
            </w:r>
            <w:r w:rsidR="00CA1CC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connections</w:t>
            </w: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are currently </w:t>
            </w:r>
            <w:r w:rsidR="00326E9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available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 patients when they need to be r</w:t>
            </w: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eferred out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053" w:type="dxa"/>
            <w:shd w:val="clear" w:color="auto" w:fill="FFFFFF" w:themeFill="background1"/>
          </w:tcPr>
          <w:p w14:paraId="42DCD925" w14:textId="77777777" w:rsidR="00930133" w:rsidRPr="00456F1B" w:rsidRDefault="00930133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0133" w:rsidRPr="00456F1B" w14:paraId="2084F8F1" w14:textId="77777777" w:rsidTr="00863F91">
        <w:tc>
          <w:tcPr>
            <w:tcW w:w="7027" w:type="dxa"/>
            <w:shd w:val="clear" w:color="auto" w:fill="FFFFFF" w:themeFill="background1"/>
          </w:tcPr>
          <w:p w14:paraId="76AFECB8" w14:textId="3E6C93E9" w:rsidR="00930133" w:rsidRPr="00456F1B" w:rsidRDefault="00930133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What </w:t>
            </w:r>
            <w:r w:rsidR="00326E9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community resource</w:t>
            </w:r>
            <w:r w:rsidR="00CA1CC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connections </w:t>
            </w:r>
            <w:r w:rsidR="004E2AE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are needed? What are the next steps to establish these connections?</w:t>
            </w:r>
          </w:p>
        </w:tc>
        <w:tc>
          <w:tcPr>
            <w:tcW w:w="3053" w:type="dxa"/>
            <w:shd w:val="clear" w:color="auto" w:fill="FFFFFF" w:themeFill="background1"/>
          </w:tcPr>
          <w:p w14:paraId="561937F8" w14:textId="77777777" w:rsidR="00930133" w:rsidRPr="00456F1B" w:rsidRDefault="00930133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E2AE0" w:rsidRPr="00456F1B" w14:paraId="0DF534AB" w14:textId="77777777" w:rsidTr="00D30938">
        <w:tc>
          <w:tcPr>
            <w:tcW w:w="7027" w:type="dxa"/>
            <w:shd w:val="clear" w:color="auto" w:fill="AAADAD"/>
          </w:tcPr>
          <w:p w14:paraId="11A03051" w14:textId="6347D32F" w:rsidR="004E2AE0" w:rsidRPr="00DE42AA" w:rsidRDefault="0001339D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DE42A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Training &amp; Education</w:t>
            </w:r>
          </w:p>
        </w:tc>
        <w:tc>
          <w:tcPr>
            <w:tcW w:w="3053" w:type="dxa"/>
            <w:shd w:val="clear" w:color="auto" w:fill="AAADAD"/>
          </w:tcPr>
          <w:p w14:paraId="496A4C12" w14:textId="77777777" w:rsidR="004E2AE0" w:rsidRPr="00DE42AA" w:rsidRDefault="004E2AE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CC5243" w:rsidRPr="00456F1B" w14:paraId="43C3D9DD" w14:textId="77777777" w:rsidTr="00863F91">
        <w:tc>
          <w:tcPr>
            <w:tcW w:w="7027" w:type="dxa"/>
            <w:shd w:val="clear" w:color="auto" w:fill="FFFFFF" w:themeFill="background1"/>
          </w:tcPr>
          <w:p w14:paraId="6B6B6F0A" w14:textId="21992F10" w:rsidR="00CC5243" w:rsidRDefault="00D30938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Look at your Section 6 Implementation Plan: </w:t>
            </w:r>
          </w:p>
          <w:p w14:paraId="5E545A40" w14:textId="14FFA59B" w:rsidR="00D30938" w:rsidRPr="00D30938" w:rsidRDefault="00D30938" w:rsidP="00E1135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Are there any updates needed post workflow changes? </w:t>
            </w:r>
          </w:p>
        </w:tc>
        <w:tc>
          <w:tcPr>
            <w:tcW w:w="3053" w:type="dxa"/>
            <w:shd w:val="clear" w:color="auto" w:fill="FFFFFF" w:themeFill="background1"/>
          </w:tcPr>
          <w:p w14:paraId="651723C3" w14:textId="77777777" w:rsidR="00CC5243" w:rsidRPr="00456F1B" w:rsidRDefault="00CC5243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E2AE0" w:rsidRPr="00456F1B" w14:paraId="476A6F76" w14:textId="77777777" w:rsidTr="00863F91">
        <w:tc>
          <w:tcPr>
            <w:tcW w:w="7027" w:type="dxa"/>
            <w:shd w:val="clear" w:color="auto" w:fill="FFFFFF" w:themeFill="background1"/>
          </w:tcPr>
          <w:p w14:paraId="14592EC0" w14:textId="72EE5D7E" w:rsidR="004E2AE0" w:rsidRDefault="00D30938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What needs to be updated around training for BHI</w:t>
            </w:r>
            <w:r w:rsidR="009046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053" w:type="dxa"/>
            <w:shd w:val="clear" w:color="auto" w:fill="FFFFFF" w:themeFill="background1"/>
          </w:tcPr>
          <w:p w14:paraId="3C634568" w14:textId="77777777" w:rsidR="004E2AE0" w:rsidRPr="00456F1B" w:rsidRDefault="004E2AE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E2AE0" w:rsidRPr="00456F1B" w14:paraId="3904D293" w14:textId="77777777" w:rsidTr="00863F91">
        <w:tc>
          <w:tcPr>
            <w:tcW w:w="7027" w:type="dxa"/>
            <w:shd w:val="clear" w:color="auto" w:fill="FFFFFF" w:themeFill="background1"/>
          </w:tcPr>
          <w:p w14:paraId="73873845" w14:textId="1510F176" w:rsidR="004E2AE0" w:rsidRDefault="00DE42AA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How </w:t>
            </w:r>
            <w:r w:rsidR="009046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 you show appreciation for buy-in for BHI workflow changes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053" w:type="dxa"/>
            <w:shd w:val="clear" w:color="auto" w:fill="FFFFFF" w:themeFill="background1"/>
          </w:tcPr>
          <w:p w14:paraId="2586A215" w14:textId="77777777" w:rsidR="004E2AE0" w:rsidRPr="00456F1B" w:rsidRDefault="004E2AE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E42AA" w:rsidRPr="00456F1B" w14:paraId="795D5DC7" w14:textId="77777777" w:rsidTr="00863F91">
        <w:tc>
          <w:tcPr>
            <w:tcW w:w="7027" w:type="dxa"/>
            <w:shd w:val="clear" w:color="auto" w:fill="FFFFFF" w:themeFill="background1"/>
          </w:tcPr>
          <w:p w14:paraId="6BA66849" w14:textId="464F63D6" w:rsidR="00DE42AA" w:rsidRDefault="00904631" w:rsidP="00E1135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What are your opportunities around monitoring for BHI?</w:t>
            </w:r>
          </w:p>
        </w:tc>
        <w:tc>
          <w:tcPr>
            <w:tcW w:w="3053" w:type="dxa"/>
            <w:shd w:val="clear" w:color="auto" w:fill="FFFFFF" w:themeFill="background1"/>
          </w:tcPr>
          <w:p w14:paraId="69FBBBB7" w14:textId="77777777" w:rsidR="00DE42AA" w:rsidRPr="00456F1B" w:rsidRDefault="00DE42AA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CE4EA06" w14:textId="5C33C7E4" w:rsidR="00C471C7" w:rsidRDefault="00083E56" w:rsidP="00E11356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962D27" wp14:editId="52126756">
            <wp:simplePos x="0" y="0"/>
            <wp:positionH relativeFrom="column">
              <wp:posOffset>-351007</wp:posOffset>
            </wp:positionH>
            <wp:positionV relativeFrom="page">
              <wp:posOffset>982494</wp:posOffset>
            </wp:positionV>
            <wp:extent cx="6382155" cy="2799715"/>
            <wp:effectExtent l="19050" t="0" r="38100" b="0"/>
            <wp:wrapNone/>
            <wp:docPr id="67001007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2A" w14:textId="27133353" w:rsidR="00331FA1" w:rsidRPr="00456F1B" w:rsidRDefault="00000000" w:rsidP="00E11356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 xml:space="preserve">Section </w:t>
      </w:r>
      <w:r w:rsidR="00BC76A1" w:rsidRPr="00456F1B">
        <w:rPr>
          <w:rFonts w:asciiTheme="majorHAnsi" w:hAnsiTheme="majorHAnsi" w:cstheme="majorHAnsi"/>
          <w:b/>
          <w:color w:val="000000"/>
          <w:sz w:val="22"/>
          <w:szCs w:val="22"/>
        </w:rPr>
        <w:t>7:</w:t>
      </w:r>
      <w:r w:rsidRPr="00456F1B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C471C7">
        <w:rPr>
          <w:rFonts w:asciiTheme="majorHAnsi" w:hAnsiTheme="majorHAnsi" w:cstheme="majorHAnsi"/>
          <w:b/>
          <w:color w:val="000000"/>
          <w:sz w:val="22"/>
          <w:szCs w:val="22"/>
        </w:rPr>
        <w:t>Action Plan</w:t>
      </w:r>
    </w:p>
    <w:p w14:paraId="0000002B" w14:textId="77777777" w:rsidR="00331FA1" w:rsidRPr="00456F1B" w:rsidRDefault="00331FA1" w:rsidP="00E1135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2C" w14:textId="77777777" w:rsidR="00331FA1" w:rsidRPr="00456F1B" w:rsidRDefault="00000000" w:rsidP="00E1135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>Considerations for developing the Action Plan:</w:t>
      </w:r>
    </w:p>
    <w:p w14:paraId="0000002D" w14:textId="2984288C" w:rsidR="00331FA1" w:rsidRPr="00456F1B" w:rsidRDefault="00000000" w:rsidP="00E11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 xml:space="preserve">This is a space for your team to identify next action steps needed to move toward pilot implementation. </w:t>
      </w:r>
      <w:r w:rsidR="00A50D07" w:rsidRPr="00456F1B">
        <w:rPr>
          <w:rFonts w:asciiTheme="majorHAnsi" w:hAnsiTheme="majorHAnsi" w:cstheme="majorHAnsi"/>
          <w:color w:val="000000"/>
          <w:sz w:val="22"/>
          <w:szCs w:val="22"/>
        </w:rPr>
        <w:t>Add additional rows as needed.</w:t>
      </w:r>
    </w:p>
    <w:p w14:paraId="0000002E" w14:textId="77777777" w:rsidR="00331FA1" w:rsidRPr="00456F1B" w:rsidRDefault="00000000" w:rsidP="00E11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>Look at the questions raised during the implementation plan section above.</w:t>
      </w:r>
    </w:p>
    <w:p w14:paraId="0000002F" w14:textId="3E0CA78E" w:rsidR="00331FA1" w:rsidRPr="00456F1B" w:rsidRDefault="00000000" w:rsidP="00E11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 xml:space="preserve">Understanding these questions and your responses will provide insight into what needs to be addressed in your </w:t>
      </w:r>
      <w:r w:rsidR="00A50D07" w:rsidRPr="00456F1B">
        <w:rPr>
          <w:rFonts w:asciiTheme="majorHAnsi" w:hAnsiTheme="majorHAnsi" w:cstheme="majorHAnsi"/>
          <w:color w:val="000000"/>
          <w:sz w:val="22"/>
          <w:szCs w:val="22"/>
        </w:rPr>
        <w:t>Action Plan.</w:t>
      </w:r>
    </w:p>
    <w:p w14:paraId="00000030" w14:textId="77777777" w:rsidR="00331FA1" w:rsidRPr="00456F1B" w:rsidRDefault="00000000" w:rsidP="00E11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 xml:space="preserve">What issues or concerns do they bring up? </w:t>
      </w:r>
    </w:p>
    <w:p w14:paraId="00000031" w14:textId="57B87CAE" w:rsidR="00331FA1" w:rsidRPr="00456F1B" w:rsidRDefault="00000000" w:rsidP="00E113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456F1B">
        <w:rPr>
          <w:rFonts w:asciiTheme="majorHAnsi" w:hAnsiTheme="majorHAnsi" w:cstheme="majorHAnsi"/>
          <w:color w:val="000000"/>
          <w:sz w:val="22"/>
          <w:szCs w:val="22"/>
        </w:rPr>
        <w:t xml:space="preserve">Keep in mind that all tasks do not have to be completed by </w:t>
      </w:r>
      <w:r w:rsidR="00C471C7">
        <w:rPr>
          <w:rFonts w:asciiTheme="majorHAnsi" w:hAnsiTheme="majorHAnsi" w:cstheme="majorHAnsi"/>
          <w:color w:val="000000"/>
          <w:sz w:val="22"/>
          <w:szCs w:val="22"/>
        </w:rPr>
        <w:t>June 28</w:t>
      </w:r>
      <w:r w:rsidR="00C471C7" w:rsidRPr="00C471C7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th</w:t>
      </w:r>
      <w:r w:rsidR="00C471C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0000032" w14:textId="2AD7271E" w:rsidR="00331FA1" w:rsidRPr="00456F1B" w:rsidRDefault="00331FA1" w:rsidP="00E1135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33" w14:textId="4CB7D02E" w:rsidR="00331FA1" w:rsidRPr="00456F1B" w:rsidRDefault="00331FA1" w:rsidP="00E1135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a0"/>
        <w:tblW w:w="89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5125"/>
      </w:tblGrid>
      <w:tr w:rsidR="00331FA1" w:rsidRPr="00456F1B" w14:paraId="251CE0B3" w14:textId="77777777">
        <w:trPr>
          <w:trHeight w:val="386"/>
          <w:tblHeader/>
        </w:trPr>
        <w:tc>
          <w:tcPr>
            <w:tcW w:w="3870" w:type="dxa"/>
            <w:shd w:val="clear" w:color="auto" w:fill="E7E6E6"/>
          </w:tcPr>
          <w:p w14:paraId="00000034" w14:textId="77777777" w:rsidR="00331FA1" w:rsidRPr="00456F1B" w:rsidRDefault="00000000" w:rsidP="00E1135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i/>
                <w:sz w:val="22"/>
                <w:szCs w:val="22"/>
              </w:rPr>
              <w:t>Due Date</w:t>
            </w:r>
          </w:p>
        </w:tc>
        <w:tc>
          <w:tcPr>
            <w:tcW w:w="5125" w:type="dxa"/>
            <w:shd w:val="clear" w:color="auto" w:fill="E7E6E6"/>
          </w:tcPr>
          <w:p w14:paraId="00000035" w14:textId="77777777" w:rsidR="00331FA1" w:rsidRPr="00456F1B" w:rsidRDefault="00000000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Lead &amp; Task</w:t>
            </w:r>
          </w:p>
        </w:tc>
      </w:tr>
      <w:tr w:rsidR="00331FA1" w:rsidRPr="00456F1B" w14:paraId="5FE50A51" w14:textId="77777777">
        <w:trPr>
          <w:trHeight w:val="2160"/>
        </w:trPr>
        <w:tc>
          <w:tcPr>
            <w:tcW w:w="3870" w:type="dxa"/>
            <w:shd w:val="clear" w:color="auto" w:fill="FFFFFF"/>
          </w:tcPr>
          <w:p w14:paraId="00000036" w14:textId="77777777" w:rsidR="00331FA1" w:rsidRPr="00456F1B" w:rsidRDefault="00331FA1" w:rsidP="00E113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125" w:type="dxa"/>
            <w:shd w:val="clear" w:color="auto" w:fill="FFFFFF"/>
          </w:tcPr>
          <w:p w14:paraId="00000037" w14:textId="77777777" w:rsidR="00331FA1" w:rsidRPr="00456F1B" w:rsidRDefault="00000000" w:rsidP="00E113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Lead: </w:t>
            </w:r>
          </w:p>
          <w:p w14:paraId="00000038" w14:textId="77777777" w:rsidR="00331FA1" w:rsidRPr="00456F1B" w:rsidRDefault="00331FA1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0000039" w14:textId="77777777" w:rsidR="00331FA1" w:rsidRPr="00456F1B" w:rsidRDefault="00000000" w:rsidP="00E113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56F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Task: </w:t>
            </w:r>
          </w:p>
          <w:p w14:paraId="0000003A" w14:textId="77777777" w:rsidR="00331FA1" w:rsidRPr="00456F1B" w:rsidRDefault="00331FA1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000003B" w14:textId="77777777" w:rsidR="00331FA1" w:rsidRPr="00456F1B" w:rsidRDefault="00331FA1" w:rsidP="00E1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0EA4D5" w14:textId="2152EEEC" w:rsidR="00E73BBE" w:rsidRPr="00456F1B" w:rsidRDefault="00E73BBE" w:rsidP="00E11356">
      <w:pPr>
        <w:spacing w:line="259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sectPr w:rsidR="00E73BBE" w:rsidRPr="00456F1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A6C3" w14:textId="77777777" w:rsidR="00E5792F" w:rsidRDefault="00E5792F" w:rsidP="00EF14A1">
      <w:r>
        <w:separator/>
      </w:r>
    </w:p>
  </w:endnote>
  <w:endnote w:type="continuationSeparator" w:id="0">
    <w:p w14:paraId="37B63F15" w14:textId="77777777" w:rsidR="00E5792F" w:rsidRDefault="00E5792F" w:rsidP="00E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AA8B" w14:textId="41C9970D" w:rsidR="00A50D07" w:rsidRDefault="00A50D07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B38A" w14:textId="77777777" w:rsidR="00E5792F" w:rsidRDefault="00E5792F" w:rsidP="00EF14A1">
      <w:r>
        <w:separator/>
      </w:r>
    </w:p>
  </w:footnote>
  <w:footnote w:type="continuationSeparator" w:id="0">
    <w:p w14:paraId="46237D0B" w14:textId="77777777" w:rsidR="00E5792F" w:rsidRDefault="00E5792F" w:rsidP="00EF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9583" w14:textId="77777777" w:rsidR="00EF14A1" w:rsidRDefault="00EF14A1" w:rsidP="00EF14A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F81BD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F81BD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3AD5E23A" wp14:editId="3A54AFB3">
          <wp:simplePos x="0" y="0"/>
          <wp:positionH relativeFrom="column">
            <wp:posOffset>-63500</wp:posOffset>
          </wp:positionH>
          <wp:positionV relativeFrom="paragraph">
            <wp:posOffset>-63500</wp:posOffset>
          </wp:positionV>
          <wp:extent cx="2211070" cy="590550"/>
          <wp:effectExtent l="0" t="0" r="0" b="0"/>
          <wp:wrapTight wrapText="bothSides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293BC" w14:textId="77777777" w:rsidR="00EF14A1" w:rsidRDefault="00EF14A1" w:rsidP="00EF14A1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F81BD" w:themeColor="accent1"/>
        <w:sz w:val="15"/>
        <w:szCs w:val="15"/>
      </w:rPr>
    </w:pP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Century Gothic" w:hAnsi="Century Gothic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 xml:space="preserve">CALHIVE </w:t>
    </w:r>
  </w:p>
  <w:p w14:paraId="15BA88A3" w14:textId="77777777" w:rsidR="00EF14A1" w:rsidRPr="001A5F4A" w:rsidRDefault="00EF14A1" w:rsidP="00EF14A1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</w:r>
    <w:r>
      <w:rPr>
        <w:rFonts w:ascii="Work Sans" w:hAnsi="Work Sans" w:cs="Tahoma"/>
        <w:b/>
        <w:color w:val="4F81BD" w:themeColor="accent1"/>
        <w:sz w:val="15"/>
        <w:szCs w:val="15"/>
      </w:rPr>
      <w:tab/>
      <w:t xml:space="preserve">   BEHAVIORAL HEALTH INTEGRATION </w:t>
    </w:r>
  </w:p>
  <w:p w14:paraId="301899ED" w14:textId="77777777" w:rsidR="00EF14A1" w:rsidRDefault="00EF14A1" w:rsidP="00EF14A1">
    <w:pPr>
      <w:pStyle w:val="Header"/>
    </w:pPr>
  </w:p>
  <w:p w14:paraId="1114981B" w14:textId="77777777" w:rsidR="00EF14A1" w:rsidRDefault="00EF1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C8"/>
    <w:multiLevelType w:val="multilevel"/>
    <w:tmpl w:val="9EA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7041A"/>
    <w:multiLevelType w:val="multilevel"/>
    <w:tmpl w:val="16E4A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590539"/>
    <w:multiLevelType w:val="multilevel"/>
    <w:tmpl w:val="FF38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85B8C"/>
    <w:multiLevelType w:val="multilevel"/>
    <w:tmpl w:val="8852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EC3DE4"/>
    <w:multiLevelType w:val="multilevel"/>
    <w:tmpl w:val="4AE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F0B69"/>
    <w:multiLevelType w:val="hybridMultilevel"/>
    <w:tmpl w:val="E598B68E"/>
    <w:lvl w:ilvl="0" w:tplc="0038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25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A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09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88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E1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4D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6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F79D7"/>
    <w:multiLevelType w:val="hybridMultilevel"/>
    <w:tmpl w:val="2382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0653A"/>
    <w:multiLevelType w:val="hybridMultilevel"/>
    <w:tmpl w:val="565C6CC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58A61E22"/>
    <w:multiLevelType w:val="multilevel"/>
    <w:tmpl w:val="5A76E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9158C"/>
    <w:multiLevelType w:val="multilevel"/>
    <w:tmpl w:val="C40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856F76"/>
    <w:multiLevelType w:val="multilevel"/>
    <w:tmpl w:val="BD62F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85A42"/>
    <w:multiLevelType w:val="multilevel"/>
    <w:tmpl w:val="BCD4B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0235C95"/>
    <w:multiLevelType w:val="multilevel"/>
    <w:tmpl w:val="4AE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F1AC7"/>
    <w:multiLevelType w:val="multilevel"/>
    <w:tmpl w:val="0CE6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A12B65"/>
    <w:multiLevelType w:val="multilevel"/>
    <w:tmpl w:val="E5267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2937768"/>
    <w:multiLevelType w:val="hybridMultilevel"/>
    <w:tmpl w:val="D36EB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724EC"/>
    <w:multiLevelType w:val="multilevel"/>
    <w:tmpl w:val="494C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BBF4FC4"/>
    <w:multiLevelType w:val="multilevel"/>
    <w:tmpl w:val="BE64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56541E"/>
    <w:multiLevelType w:val="hybridMultilevel"/>
    <w:tmpl w:val="E65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2336B"/>
    <w:multiLevelType w:val="multilevel"/>
    <w:tmpl w:val="9E165F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91D3123"/>
    <w:multiLevelType w:val="multilevel"/>
    <w:tmpl w:val="9FF2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2489001">
    <w:abstractNumId w:val="10"/>
  </w:num>
  <w:num w:numId="2" w16cid:durableId="802623222">
    <w:abstractNumId w:val="1"/>
  </w:num>
  <w:num w:numId="3" w16cid:durableId="684136811">
    <w:abstractNumId w:val="8"/>
  </w:num>
  <w:num w:numId="4" w16cid:durableId="900798587">
    <w:abstractNumId w:val="20"/>
  </w:num>
  <w:num w:numId="5" w16cid:durableId="1736388796">
    <w:abstractNumId w:val="7"/>
  </w:num>
  <w:num w:numId="6" w16cid:durableId="1001346950">
    <w:abstractNumId w:val="18"/>
  </w:num>
  <w:num w:numId="7" w16cid:durableId="200165879">
    <w:abstractNumId w:val="5"/>
  </w:num>
  <w:num w:numId="8" w16cid:durableId="715279872">
    <w:abstractNumId w:val="3"/>
  </w:num>
  <w:num w:numId="9" w16cid:durableId="1397162602">
    <w:abstractNumId w:val="9"/>
  </w:num>
  <w:num w:numId="10" w16cid:durableId="694429504">
    <w:abstractNumId w:val="16"/>
  </w:num>
  <w:num w:numId="11" w16cid:durableId="1056126081">
    <w:abstractNumId w:val="13"/>
  </w:num>
  <w:num w:numId="12" w16cid:durableId="483861299">
    <w:abstractNumId w:val="11"/>
  </w:num>
  <w:num w:numId="13" w16cid:durableId="587467346">
    <w:abstractNumId w:val="2"/>
  </w:num>
  <w:num w:numId="14" w16cid:durableId="300693856">
    <w:abstractNumId w:val="14"/>
  </w:num>
  <w:num w:numId="15" w16cid:durableId="139619344">
    <w:abstractNumId w:val="17"/>
  </w:num>
  <w:num w:numId="16" w16cid:durableId="1967392308">
    <w:abstractNumId w:val="19"/>
  </w:num>
  <w:num w:numId="17" w16cid:durableId="1865941014">
    <w:abstractNumId w:val="15"/>
  </w:num>
  <w:num w:numId="18" w16cid:durableId="603654352">
    <w:abstractNumId w:val="6"/>
  </w:num>
  <w:num w:numId="19" w16cid:durableId="1915779608">
    <w:abstractNumId w:val="0"/>
  </w:num>
  <w:num w:numId="20" w16cid:durableId="454180588">
    <w:abstractNumId w:val="4"/>
  </w:num>
  <w:num w:numId="21" w16cid:durableId="293215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A1"/>
    <w:rsid w:val="0001339D"/>
    <w:rsid w:val="00083E56"/>
    <w:rsid w:val="001166C7"/>
    <w:rsid w:val="0019671E"/>
    <w:rsid w:val="001F401B"/>
    <w:rsid w:val="001F7724"/>
    <w:rsid w:val="00326E97"/>
    <w:rsid w:val="00331FA1"/>
    <w:rsid w:val="003B5C77"/>
    <w:rsid w:val="003C1C18"/>
    <w:rsid w:val="00456F1B"/>
    <w:rsid w:val="00483703"/>
    <w:rsid w:val="004A6B84"/>
    <w:rsid w:val="004E2AE0"/>
    <w:rsid w:val="004E7F6F"/>
    <w:rsid w:val="004F37F3"/>
    <w:rsid w:val="00561479"/>
    <w:rsid w:val="00571C78"/>
    <w:rsid w:val="005732A8"/>
    <w:rsid w:val="00574F82"/>
    <w:rsid w:val="006F1BCE"/>
    <w:rsid w:val="006F2F7D"/>
    <w:rsid w:val="006F7FC8"/>
    <w:rsid w:val="007C0E48"/>
    <w:rsid w:val="00835C3B"/>
    <w:rsid w:val="00863F91"/>
    <w:rsid w:val="00904631"/>
    <w:rsid w:val="00930133"/>
    <w:rsid w:val="0099644E"/>
    <w:rsid w:val="00A0133B"/>
    <w:rsid w:val="00A2370D"/>
    <w:rsid w:val="00A41A43"/>
    <w:rsid w:val="00A50D07"/>
    <w:rsid w:val="00B27CAB"/>
    <w:rsid w:val="00B574B9"/>
    <w:rsid w:val="00BA62A5"/>
    <w:rsid w:val="00BC76A1"/>
    <w:rsid w:val="00C352EF"/>
    <w:rsid w:val="00C424BB"/>
    <w:rsid w:val="00C471C7"/>
    <w:rsid w:val="00C80573"/>
    <w:rsid w:val="00CA1CCF"/>
    <w:rsid w:val="00CC5243"/>
    <w:rsid w:val="00CE7113"/>
    <w:rsid w:val="00D26B54"/>
    <w:rsid w:val="00D30938"/>
    <w:rsid w:val="00D72182"/>
    <w:rsid w:val="00DE42AA"/>
    <w:rsid w:val="00DF4715"/>
    <w:rsid w:val="00E11356"/>
    <w:rsid w:val="00E5792F"/>
    <w:rsid w:val="00E73BBE"/>
    <w:rsid w:val="00EF14A1"/>
    <w:rsid w:val="00F07A3B"/>
    <w:rsid w:val="00F31741"/>
    <w:rsid w:val="2C6CE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8103"/>
  <w15:docId w15:val="{B3A51019-C554-4F52-B0FB-6A3F872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1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4A1"/>
  </w:style>
  <w:style w:type="paragraph" w:styleId="Footer">
    <w:name w:val="footer"/>
    <w:basedOn w:val="Normal"/>
    <w:link w:val="FooterChar"/>
    <w:uiPriority w:val="99"/>
    <w:unhideWhenUsed/>
    <w:rsid w:val="00EF1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4A1"/>
  </w:style>
  <w:style w:type="character" w:styleId="Hyperlink">
    <w:name w:val="Hyperlink"/>
    <w:basedOn w:val="DefaultParagraphFont"/>
    <w:uiPriority w:val="99"/>
    <w:unhideWhenUsed/>
    <w:rsid w:val="00EF14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D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47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F77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F7724"/>
  </w:style>
  <w:style w:type="character" w:customStyle="1" w:styleId="eop">
    <w:name w:val="eop"/>
    <w:basedOn w:val="DefaultParagraphFont"/>
    <w:rsid w:val="001F7724"/>
  </w:style>
  <w:style w:type="paragraph" w:styleId="Revision">
    <w:name w:val="Revision"/>
    <w:hidden/>
    <w:uiPriority w:val="99"/>
    <w:semiHidden/>
    <w:rsid w:val="00F31741"/>
  </w:style>
  <w:style w:type="paragraph" w:styleId="NormalWeb">
    <w:name w:val="Normal (Web)"/>
    <w:basedOn w:val="Normal"/>
    <w:uiPriority w:val="99"/>
    <w:unhideWhenUsed/>
    <w:rsid w:val="00C424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424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bgh.org/wp-content/uploads/2024/05/Section-7_BHI-Workflows.pptx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gh.org/calhive-bhi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pbgh.org/calhive-bhi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bgh.org/calhive-bhi/" TargetMode="Externa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BA036D-9EEF-8144-A489-F49E07F9951C}" type="doc">
      <dgm:prSet loTypeId="urn:microsoft.com/office/officeart/2005/8/layout/chevron1" loCatId="" qsTypeId="urn:microsoft.com/office/officeart/2005/8/quickstyle/simple1" qsCatId="simple" csTypeId="urn:microsoft.com/office/officeart/2005/8/colors/accent1_3" csCatId="accent1" phldr="1"/>
      <dgm:spPr/>
    </dgm:pt>
    <dgm:pt modelId="{CC2170BC-F04F-0C44-9B59-09FD1C8D99F2}">
      <dgm:prSet phldrT="[Text]"/>
      <dgm:spPr/>
      <dgm:t>
        <a:bodyPr/>
        <a:lstStyle/>
        <a:p>
          <a:r>
            <a:rPr lang="en-US"/>
            <a:t>Screening</a:t>
          </a:r>
        </a:p>
      </dgm:t>
    </dgm:pt>
    <dgm:pt modelId="{215F7583-45B4-8640-B3E5-F8B17A563F48}" type="parTrans" cxnId="{A9E8BC35-D5C0-F24A-9CFC-58C0C670E432}">
      <dgm:prSet/>
      <dgm:spPr/>
      <dgm:t>
        <a:bodyPr/>
        <a:lstStyle/>
        <a:p>
          <a:endParaRPr lang="en-US"/>
        </a:p>
      </dgm:t>
    </dgm:pt>
    <dgm:pt modelId="{F183C4E4-A2AF-2E4C-A175-05C5C4C3EA5F}" type="sibTrans" cxnId="{A9E8BC35-D5C0-F24A-9CFC-58C0C670E432}">
      <dgm:prSet/>
      <dgm:spPr/>
      <dgm:t>
        <a:bodyPr/>
        <a:lstStyle/>
        <a:p>
          <a:endParaRPr lang="en-US"/>
        </a:p>
      </dgm:t>
    </dgm:pt>
    <dgm:pt modelId="{37B2FF96-A272-0D4D-8DBB-8F017F2B3EC9}">
      <dgm:prSet phldrT="[Text]"/>
      <dgm:spPr/>
      <dgm:t>
        <a:bodyPr/>
        <a:lstStyle/>
        <a:p>
          <a:r>
            <a:rPr lang="en-US"/>
            <a:t>Warm-Handoff and Initiation of Care</a:t>
          </a:r>
        </a:p>
      </dgm:t>
    </dgm:pt>
    <dgm:pt modelId="{900BB78C-7145-8846-8CE2-02EBE650A832}" type="parTrans" cxnId="{8690BC77-2CFD-8548-A363-5298C99694EF}">
      <dgm:prSet/>
      <dgm:spPr/>
      <dgm:t>
        <a:bodyPr/>
        <a:lstStyle/>
        <a:p>
          <a:endParaRPr lang="en-US"/>
        </a:p>
      </dgm:t>
    </dgm:pt>
    <dgm:pt modelId="{BC7EAA21-981E-E04F-9B42-70648B367C7D}" type="sibTrans" cxnId="{8690BC77-2CFD-8548-A363-5298C99694EF}">
      <dgm:prSet/>
      <dgm:spPr/>
      <dgm:t>
        <a:bodyPr/>
        <a:lstStyle/>
        <a:p>
          <a:endParaRPr lang="en-US"/>
        </a:p>
      </dgm:t>
    </dgm:pt>
    <dgm:pt modelId="{1E08A2DB-C490-8046-9812-DA8C92075F1E}">
      <dgm:prSet phldrT="[Text]"/>
      <dgm:spPr/>
      <dgm:t>
        <a:bodyPr/>
        <a:lstStyle/>
        <a:p>
          <a:r>
            <a:rPr lang="en-US"/>
            <a:t>Initial Assessment </a:t>
          </a:r>
        </a:p>
      </dgm:t>
    </dgm:pt>
    <dgm:pt modelId="{51F7F5B4-4A6C-9746-BE1E-35D3BCB82EF0}" type="parTrans" cxnId="{A102BDA4-B9AC-EF47-ADDE-03F224BABEFB}">
      <dgm:prSet/>
      <dgm:spPr/>
      <dgm:t>
        <a:bodyPr/>
        <a:lstStyle/>
        <a:p>
          <a:endParaRPr lang="en-US"/>
        </a:p>
      </dgm:t>
    </dgm:pt>
    <dgm:pt modelId="{E3FDCE32-C759-6245-AD84-42E668BE2810}" type="sibTrans" cxnId="{A102BDA4-B9AC-EF47-ADDE-03F224BABEFB}">
      <dgm:prSet/>
      <dgm:spPr/>
      <dgm:t>
        <a:bodyPr/>
        <a:lstStyle/>
        <a:p>
          <a:endParaRPr lang="en-US"/>
        </a:p>
      </dgm:t>
    </dgm:pt>
    <dgm:pt modelId="{5285C05C-1CA2-0647-8D57-2A1ACDDA9674}">
      <dgm:prSet phldrT="[Text]"/>
      <dgm:spPr/>
      <dgm:t>
        <a:bodyPr/>
        <a:lstStyle/>
        <a:p>
          <a:r>
            <a:rPr lang="en-US"/>
            <a:t>Follow-Up Care</a:t>
          </a:r>
        </a:p>
      </dgm:t>
    </dgm:pt>
    <dgm:pt modelId="{3F5B83FC-C94B-5146-8988-6C3097270608}" type="parTrans" cxnId="{DB4555D0-D379-BB42-AD23-3C3D492D72A8}">
      <dgm:prSet/>
      <dgm:spPr/>
      <dgm:t>
        <a:bodyPr/>
        <a:lstStyle/>
        <a:p>
          <a:endParaRPr lang="en-US"/>
        </a:p>
      </dgm:t>
    </dgm:pt>
    <dgm:pt modelId="{3FBFE5BB-AA3E-6944-B8E6-47C85115C894}" type="sibTrans" cxnId="{DB4555D0-D379-BB42-AD23-3C3D492D72A8}">
      <dgm:prSet/>
      <dgm:spPr/>
      <dgm:t>
        <a:bodyPr/>
        <a:lstStyle/>
        <a:p>
          <a:endParaRPr lang="en-US"/>
        </a:p>
      </dgm:t>
    </dgm:pt>
    <dgm:pt modelId="{263D3E7B-0C63-C14A-8C96-FD8419C4CD73}">
      <dgm:prSet phldrT="[Text]"/>
      <dgm:spPr/>
      <dgm:t>
        <a:bodyPr/>
        <a:lstStyle/>
        <a:p>
          <a:r>
            <a:rPr lang="en-US"/>
            <a:t>Patient Re-engagement</a:t>
          </a:r>
        </a:p>
      </dgm:t>
    </dgm:pt>
    <dgm:pt modelId="{31311615-025D-8444-BB82-1F7BAF1477DB}" type="parTrans" cxnId="{65F4F110-6451-3144-8107-FD14BDE39583}">
      <dgm:prSet/>
      <dgm:spPr/>
      <dgm:t>
        <a:bodyPr/>
        <a:lstStyle/>
        <a:p>
          <a:endParaRPr lang="en-US"/>
        </a:p>
      </dgm:t>
    </dgm:pt>
    <dgm:pt modelId="{53B71771-4E4F-B945-9D94-0B5CE37F7180}" type="sibTrans" cxnId="{65F4F110-6451-3144-8107-FD14BDE39583}">
      <dgm:prSet/>
      <dgm:spPr/>
      <dgm:t>
        <a:bodyPr/>
        <a:lstStyle/>
        <a:p>
          <a:endParaRPr lang="en-US"/>
        </a:p>
      </dgm:t>
    </dgm:pt>
    <dgm:pt modelId="{65645F3D-86B5-054F-B36D-E35F77BC517D}" type="pres">
      <dgm:prSet presAssocID="{75BA036D-9EEF-8144-A489-F49E07F9951C}" presName="Name0" presStyleCnt="0">
        <dgm:presLayoutVars>
          <dgm:dir/>
          <dgm:animLvl val="lvl"/>
          <dgm:resizeHandles val="exact"/>
        </dgm:presLayoutVars>
      </dgm:prSet>
      <dgm:spPr/>
    </dgm:pt>
    <dgm:pt modelId="{A5453090-4F5C-234F-9C0E-B31D922D5FCE}" type="pres">
      <dgm:prSet presAssocID="{CC2170BC-F04F-0C44-9B59-09FD1C8D99F2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153E68C0-4217-AE4C-9316-2536C0DFC13D}" type="pres">
      <dgm:prSet presAssocID="{F183C4E4-A2AF-2E4C-A175-05C5C4C3EA5F}" presName="parTxOnlySpace" presStyleCnt="0"/>
      <dgm:spPr/>
    </dgm:pt>
    <dgm:pt modelId="{9B9528E1-A226-7E4E-92CF-279185573A0E}" type="pres">
      <dgm:prSet presAssocID="{37B2FF96-A272-0D4D-8DBB-8F017F2B3EC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CF838AA4-DB29-EE4D-BE67-67AA8464A453}" type="pres">
      <dgm:prSet presAssocID="{BC7EAA21-981E-E04F-9B42-70648B367C7D}" presName="parTxOnlySpace" presStyleCnt="0"/>
      <dgm:spPr/>
    </dgm:pt>
    <dgm:pt modelId="{543DC0D1-9502-9A45-A4D7-7BF8AED79A02}" type="pres">
      <dgm:prSet presAssocID="{1E08A2DB-C490-8046-9812-DA8C92075F1E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5AA73CC-51A7-7F47-8F1A-0CB7EF02506E}" type="pres">
      <dgm:prSet presAssocID="{E3FDCE32-C759-6245-AD84-42E668BE2810}" presName="parTxOnlySpace" presStyleCnt="0"/>
      <dgm:spPr/>
    </dgm:pt>
    <dgm:pt modelId="{385803E0-6226-3F42-B63C-EF298BEA88A3}" type="pres">
      <dgm:prSet presAssocID="{5285C05C-1CA2-0647-8D57-2A1ACDDA9674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2A6BDAD2-D8AC-8E4F-88D8-F4CEE6A02517}" type="pres">
      <dgm:prSet presAssocID="{3FBFE5BB-AA3E-6944-B8E6-47C85115C894}" presName="parTxOnlySpace" presStyleCnt="0"/>
      <dgm:spPr/>
    </dgm:pt>
    <dgm:pt modelId="{324DDCFE-2EB3-AA4E-B86B-F062A6C99B88}" type="pres">
      <dgm:prSet presAssocID="{263D3E7B-0C63-C14A-8C96-FD8419C4CD7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0849B60D-1E76-9E45-8BCB-6E281B2001AD}" type="presOf" srcId="{5285C05C-1CA2-0647-8D57-2A1ACDDA9674}" destId="{385803E0-6226-3F42-B63C-EF298BEA88A3}" srcOrd="0" destOrd="0" presId="urn:microsoft.com/office/officeart/2005/8/layout/chevron1"/>
    <dgm:cxn modelId="{65F4F110-6451-3144-8107-FD14BDE39583}" srcId="{75BA036D-9EEF-8144-A489-F49E07F9951C}" destId="{263D3E7B-0C63-C14A-8C96-FD8419C4CD73}" srcOrd="4" destOrd="0" parTransId="{31311615-025D-8444-BB82-1F7BAF1477DB}" sibTransId="{53B71771-4E4F-B945-9D94-0B5CE37F7180}"/>
    <dgm:cxn modelId="{A9E8BC35-D5C0-F24A-9CFC-58C0C670E432}" srcId="{75BA036D-9EEF-8144-A489-F49E07F9951C}" destId="{CC2170BC-F04F-0C44-9B59-09FD1C8D99F2}" srcOrd="0" destOrd="0" parTransId="{215F7583-45B4-8640-B3E5-F8B17A563F48}" sibTransId="{F183C4E4-A2AF-2E4C-A175-05C5C4C3EA5F}"/>
    <dgm:cxn modelId="{B3C75A5D-5E89-EF41-AB99-ABE60ED97407}" type="presOf" srcId="{1E08A2DB-C490-8046-9812-DA8C92075F1E}" destId="{543DC0D1-9502-9A45-A4D7-7BF8AED79A02}" srcOrd="0" destOrd="0" presId="urn:microsoft.com/office/officeart/2005/8/layout/chevron1"/>
    <dgm:cxn modelId="{0FFEAE4B-14C1-BF4A-BEEB-F9552E7F070F}" type="presOf" srcId="{263D3E7B-0C63-C14A-8C96-FD8419C4CD73}" destId="{324DDCFE-2EB3-AA4E-B86B-F062A6C99B88}" srcOrd="0" destOrd="0" presId="urn:microsoft.com/office/officeart/2005/8/layout/chevron1"/>
    <dgm:cxn modelId="{8690BC77-2CFD-8548-A363-5298C99694EF}" srcId="{75BA036D-9EEF-8144-A489-F49E07F9951C}" destId="{37B2FF96-A272-0D4D-8DBB-8F017F2B3EC9}" srcOrd="1" destOrd="0" parTransId="{900BB78C-7145-8846-8CE2-02EBE650A832}" sibTransId="{BC7EAA21-981E-E04F-9B42-70648B367C7D}"/>
    <dgm:cxn modelId="{A102BDA4-B9AC-EF47-ADDE-03F224BABEFB}" srcId="{75BA036D-9EEF-8144-A489-F49E07F9951C}" destId="{1E08A2DB-C490-8046-9812-DA8C92075F1E}" srcOrd="2" destOrd="0" parTransId="{51F7F5B4-4A6C-9746-BE1E-35D3BCB82EF0}" sibTransId="{E3FDCE32-C759-6245-AD84-42E668BE2810}"/>
    <dgm:cxn modelId="{EB8E49C1-92DD-BD47-9EB6-3494C506C659}" type="presOf" srcId="{75BA036D-9EEF-8144-A489-F49E07F9951C}" destId="{65645F3D-86B5-054F-B36D-E35F77BC517D}" srcOrd="0" destOrd="0" presId="urn:microsoft.com/office/officeart/2005/8/layout/chevron1"/>
    <dgm:cxn modelId="{DB4555D0-D379-BB42-AD23-3C3D492D72A8}" srcId="{75BA036D-9EEF-8144-A489-F49E07F9951C}" destId="{5285C05C-1CA2-0647-8D57-2A1ACDDA9674}" srcOrd="3" destOrd="0" parTransId="{3F5B83FC-C94B-5146-8988-6C3097270608}" sibTransId="{3FBFE5BB-AA3E-6944-B8E6-47C85115C894}"/>
    <dgm:cxn modelId="{CD3E2BD7-C327-1B4E-9B7E-A91AA8C41CFE}" type="presOf" srcId="{CC2170BC-F04F-0C44-9B59-09FD1C8D99F2}" destId="{A5453090-4F5C-234F-9C0E-B31D922D5FCE}" srcOrd="0" destOrd="0" presId="urn:microsoft.com/office/officeart/2005/8/layout/chevron1"/>
    <dgm:cxn modelId="{7ECB7EEE-F56D-0B49-B912-3F84F963BA90}" type="presOf" srcId="{37B2FF96-A272-0D4D-8DBB-8F017F2B3EC9}" destId="{9B9528E1-A226-7E4E-92CF-279185573A0E}" srcOrd="0" destOrd="0" presId="urn:microsoft.com/office/officeart/2005/8/layout/chevron1"/>
    <dgm:cxn modelId="{A1A3DDB3-33C2-274B-B5F0-382FC0DC80ED}" type="presParOf" srcId="{65645F3D-86B5-054F-B36D-E35F77BC517D}" destId="{A5453090-4F5C-234F-9C0E-B31D922D5FCE}" srcOrd="0" destOrd="0" presId="urn:microsoft.com/office/officeart/2005/8/layout/chevron1"/>
    <dgm:cxn modelId="{514F0015-2E01-3C4D-8E58-35585A7B5D80}" type="presParOf" srcId="{65645F3D-86B5-054F-B36D-E35F77BC517D}" destId="{153E68C0-4217-AE4C-9316-2536C0DFC13D}" srcOrd="1" destOrd="0" presId="urn:microsoft.com/office/officeart/2005/8/layout/chevron1"/>
    <dgm:cxn modelId="{64C239B0-0C01-3044-B48E-EF05A77039DE}" type="presParOf" srcId="{65645F3D-86B5-054F-B36D-E35F77BC517D}" destId="{9B9528E1-A226-7E4E-92CF-279185573A0E}" srcOrd="2" destOrd="0" presId="urn:microsoft.com/office/officeart/2005/8/layout/chevron1"/>
    <dgm:cxn modelId="{32AE0229-AFE3-9346-9B3C-89159A03B04F}" type="presParOf" srcId="{65645F3D-86B5-054F-B36D-E35F77BC517D}" destId="{CF838AA4-DB29-EE4D-BE67-67AA8464A453}" srcOrd="3" destOrd="0" presId="urn:microsoft.com/office/officeart/2005/8/layout/chevron1"/>
    <dgm:cxn modelId="{48162359-9606-E446-BD63-D47501B12BD1}" type="presParOf" srcId="{65645F3D-86B5-054F-B36D-E35F77BC517D}" destId="{543DC0D1-9502-9A45-A4D7-7BF8AED79A02}" srcOrd="4" destOrd="0" presId="urn:microsoft.com/office/officeart/2005/8/layout/chevron1"/>
    <dgm:cxn modelId="{8C958A71-E793-B444-AE97-4B01A4D9C953}" type="presParOf" srcId="{65645F3D-86B5-054F-B36D-E35F77BC517D}" destId="{D5AA73CC-51A7-7F47-8F1A-0CB7EF02506E}" srcOrd="5" destOrd="0" presId="urn:microsoft.com/office/officeart/2005/8/layout/chevron1"/>
    <dgm:cxn modelId="{46EE0169-8A77-004E-A04A-C154C8462BE3}" type="presParOf" srcId="{65645F3D-86B5-054F-B36D-E35F77BC517D}" destId="{385803E0-6226-3F42-B63C-EF298BEA88A3}" srcOrd="6" destOrd="0" presId="urn:microsoft.com/office/officeart/2005/8/layout/chevron1"/>
    <dgm:cxn modelId="{28BDA12C-6D5B-8645-85C1-DC80153C5529}" type="presParOf" srcId="{65645F3D-86B5-054F-B36D-E35F77BC517D}" destId="{2A6BDAD2-D8AC-8E4F-88D8-F4CEE6A02517}" srcOrd="7" destOrd="0" presId="urn:microsoft.com/office/officeart/2005/8/layout/chevron1"/>
    <dgm:cxn modelId="{D723C8EB-A01C-9247-8348-FEA61EB456CB}" type="presParOf" srcId="{65645F3D-86B5-054F-B36D-E35F77BC517D}" destId="{324DDCFE-2EB3-AA4E-B86B-F062A6C99B8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453090-4F5C-234F-9C0E-B31D922D5FCE}">
      <dsp:nvSpPr>
        <dsp:cNvPr id="0" name=""/>
        <dsp:cNvSpPr/>
      </dsp:nvSpPr>
      <dsp:spPr>
        <a:xfrm>
          <a:off x="1558" y="1122507"/>
          <a:ext cx="1386747" cy="554699"/>
        </a:xfrm>
        <a:prstGeom prst="chevron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Screening</a:t>
          </a:r>
        </a:p>
      </dsp:txBody>
      <dsp:txXfrm>
        <a:off x="278908" y="1122507"/>
        <a:ext cx="832048" cy="554699"/>
      </dsp:txXfrm>
    </dsp:sp>
    <dsp:sp modelId="{9B9528E1-A226-7E4E-92CF-279185573A0E}">
      <dsp:nvSpPr>
        <dsp:cNvPr id="0" name=""/>
        <dsp:cNvSpPr/>
      </dsp:nvSpPr>
      <dsp:spPr>
        <a:xfrm>
          <a:off x="1249630" y="1122507"/>
          <a:ext cx="1386747" cy="554699"/>
        </a:xfrm>
        <a:prstGeom prst="chevron">
          <a:avLst/>
        </a:prstGeom>
        <a:solidFill>
          <a:schemeClr val="accent1">
            <a:shade val="80000"/>
            <a:hueOff val="76561"/>
            <a:satOff val="-1098"/>
            <a:lumOff val="640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Warm-Handoff and Initiation of Care</a:t>
          </a:r>
        </a:p>
      </dsp:txBody>
      <dsp:txXfrm>
        <a:off x="1526980" y="1122507"/>
        <a:ext cx="832048" cy="554699"/>
      </dsp:txXfrm>
    </dsp:sp>
    <dsp:sp modelId="{543DC0D1-9502-9A45-A4D7-7BF8AED79A02}">
      <dsp:nvSpPr>
        <dsp:cNvPr id="0" name=""/>
        <dsp:cNvSpPr/>
      </dsp:nvSpPr>
      <dsp:spPr>
        <a:xfrm>
          <a:off x="2497703" y="1122507"/>
          <a:ext cx="1386747" cy="554699"/>
        </a:xfrm>
        <a:prstGeom prst="chevron">
          <a:avLst/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Initial Assessment </a:t>
          </a:r>
        </a:p>
      </dsp:txBody>
      <dsp:txXfrm>
        <a:off x="2775053" y="1122507"/>
        <a:ext cx="832048" cy="554699"/>
      </dsp:txXfrm>
    </dsp:sp>
    <dsp:sp modelId="{385803E0-6226-3F42-B63C-EF298BEA88A3}">
      <dsp:nvSpPr>
        <dsp:cNvPr id="0" name=""/>
        <dsp:cNvSpPr/>
      </dsp:nvSpPr>
      <dsp:spPr>
        <a:xfrm>
          <a:off x="3745776" y="1122507"/>
          <a:ext cx="1386747" cy="554699"/>
        </a:xfrm>
        <a:prstGeom prst="chevron">
          <a:avLst/>
        </a:prstGeom>
        <a:solidFill>
          <a:schemeClr val="accent1">
            <a:shade val="80000"/>
            <a:hueOff val="229684"/>
            <a:satOff val="-3294"/>
            <a:lumOff val="1921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Follow-Up Care</a:t>
          </a:r>
        </a:p>
      </dsp:txBody>
      <dsp:txXfrm>
        <a:off x="4023126" y="1122507"/>
        <a:ext cx="832048" cy="554699"/>
      </dsp:txXfrm>
    </dsp:sp>
    <dsp:sp modelId="{324DDCFE-2EB3-AA4E-B86B-F062A6C99B88}">
      <dsp:nvSpPr>
        <dsp:cNvPr id="0" name=""/>
        <dsp:cNvSpPr/>
      </dsp:nvSpPr>
      <dsp:spPr>
        <a:xfrm>
          <a:off x="4993849" y="1122507"/>
          <a:ext cx="1386747" cy="554699"/>
        </a:xfrm>
        <a:prstGeom prst="chevron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Patient Re-engagement</a:t>
          </a:r>
        </a:p>
      </dsp:txBody>
      <dsp:txXfrm>
        <a:off x="5271199" y="1122507"/>
        <a:ext cx="832048" cy="554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+9R0zk8GJ8ESz3SFIWCG+RuTQ==">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</go:docsCustomData>
</go:gDocsCustomXmlDataStorage>
</file>

<file path=customXml/itemProps1.xml><?xml version="1.0" encoding="utf-8"?>
<ds:datastoreItem xmlns:ds="http://schemas.openxmlformats.org/officeDocument/2006/customXml" ds:itemID="{A1FA24A1-01F8-48AE-8E5F-E1B4E8151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Business Group on Health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Baer</cp:lastModifiedBy>
  <cp:revision>25</cp:revision>
  <dcterms:created xsi:type="dcterms:W3CDTF">2024-01-03T21:14:00Z</dcterms:created>
  <dcterms:modified xsi:type="dcterms:W3CDTF">2024-05-17T19:28:00Z</dcterms:modified>
</cp:coreProperties>
</file>