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DBE5D" w14:textId="36CAE566" w:rsidR="00634EAE" w:rsidRPr="00634EAE" w:rsidRDefault="00E2629B" w:rsidP="00634EAE">
      <w:pPr>
        <w:pStyle w:val="TableParagraph"/>
        <w:spacing w:before="117"/>
        <w:ind w:right="375"/>
        <w:jc w:val="center"/>
        <w:rPr>
          <w:b/>
          <w:sz w:val="24"/>
        </w:rPr>
      </w:pPr>
      <w:r>
        <w:rPr>
          <w:b/>
          <w:sz w:val="24"/>
        </w:rPr>
        <w:t>PTI</w:t>
      </w:r>
      <w:r w:rsidR="00634EAE" w:rsidRPr="00634EAE">
        <w:rPr>
          <w:b/>
          <w:sz w:val="24"/>
        </w:rPr>
        <w:t xml:space="preserve"> defines ‘exemplary’ practices as meeting the following criteria:</w:t>
      </w:r>
    </w:p>
    <w:p w14:paraId="26ACD7DE" w14:textId="77777777" w:rsidR="00634EAE" w:rsidRDefault="00634EAE" w:rsidP="00634EAE">
      <w:pPr>
        <w:pStyle w:val="TableParagraph"/>
        <w:ind w:left="63" w:right="70"/>
      </w:pPr>
    </w:p>
    <w:tbl>
      <w:tblPr>
        <w:tblStyle w:val="TableGrid"/>
        <w:tblW w:w="0" w:type="auto"/>
        <w:tblInd w:w="63" w:type="dxa"/>
        <w:tblLook w:val="04A0" w:firstRow="1" w:lastRow="0" w:firstColumn="1" w:lastColumn="0" w:noHBand="0" w:noVBand="1"/>
      </w:tblPr>
      <w:tblGrid>
        <w:gridCol w:w="7942"/>
        <w:gridCol w:w="2785"/>
      </w:tblGrid>
      <w:tr w:rsidR="00721F85" w:rsidRPr="00721F85" w14:paraId="4F9A7F47" w14:textId="77777777" w:rsidTr="00847017">
        <w:tc>
          <w:tcPr>
            <w:tcW w:w="7942" w:type="dxa"/>
            <w:shd w:val="clear" w:color="auto" w:fill="D9D9D9" w:themeFill="background1" w:themeFillShade="D9"/>
          </w:tcPr>
          <w:p w14:paraId="5235498B" w14:textId="30AEAF67" w:rsidR="00721F85" w:rsidRPr="00721F85" w:rsidRDefault="00721F85" w:rsidP="00634EAE">
            <w:pPr>
              <w:pStyle w:val="TableParagraph"/>
              <w:ind w:right="70"/>
              <w:rPr>
                <w:b/>
              </w:rPr>
            </w:pPr>
            <w:r w:rsidRPr="00721F85">
              <w:rPr>
                <w:b/>
              </w:rPr>
              <w:t>Criteria</w:t>
            </w:r>
          </w:p>
        </w:tc>
        <w:tc>
          <w:tcPr>
            <w:tcW w:w="2785" w:type="dxa"/>
            <w:shd w:val="clear" w:color="auto" w:fill="D9D9D9" w:themeFill="background1" w:themeFillShade="D9"/>
          </w:tcPr>
          <w:p w14:paraId="61533163" w14:textId="388BC46E" w:rsidR="00721F85" w:rsidRPr="00721F85" w:rsidRDefault="00721F85" w:rsidP="00634EAE">
            <w:pPr>
              <w:pStyle w:val="TableParagraph"/>
              <w:ind w:right="70"/>
              <w:rPr>
                <w:b/>
              </w:rPr>
            </w:pPr>
            <w:r w:rsidRPr="00721F85">
              <w:rPr>
                <w:b/>
              </w:rPr>
              <w:t>Measurement</w:t>
            </w:r>
          </w:p>
        </w:tc>
      </w:tr>
      <w:tr w:rsidR="00721F85" w14:paraId="0852F278" w14:textId="77777777" w:rsidTr="00847017">
        <w:tc>
          <w:tcPr>
            <w:tcW w:w="7942" w:type="dxa"/>
          </w:tcPr>
          <w:p w14:paraId="746C39DB" w14:textId="55AE5F43" w:rsidR="00721F85" w:rsidRDefault="00721F85" w:rsidP="00721F85">
            <w:pPr>
              <w:pStyle w:val="ListParagraph"/>
              <w:numPr>
                <w:ilvl w:val="0"/>
                <w:numId w:val="1"/>
              </w:numPr>
            </w:pPr>
            <w:r>
              <w:t xml:space="preserve">Meet or exceed </w:t>
            </w:r>
            <w:r w:rsidR="005924E5">
              <w:t>California 75</w:t>
            </w:r>
            <w:r w:rsidR="005924E5" w:rsidRPr="005924E5">
              <w:rPr>
                <w:vertAlign w:val="superscript"/>
              </w:rPr>
              <w:t>th</w:t>
            </w:r>
            <w:r w:rsidR="005924E5">
              <w:t xml:space="preserve"> percentile benchmark</w:t>
            </w:r>
            <w:r w:rsidR="00FF50A2">
              <w:t>*</w:t>
            </w:r>
            <w:r w:rsidR="00BA7DCC">
              <w:t xml:space="preserve"> performance on</w:t>
            </w:r>
            <w:r w:rsidR="005924E5">
              <w:t xml:space="preserve"> at least 2 of</w:t>
            </w:r>
            <w:r w:rsidR="00BA7DCC">
              <w:t xml:space="preserve"> the following diabetes measures</w:t>
            </w:r>
            <w:r>
              <w:t>:</w:t>
            </w:r>
          </w:p>
          <w:p w14:paraId="76F47992" w14:textId="77777777" w:rsidR="00721F85" w:rsidRDefault="00721F85" w:rsidP="00721F85">
            <w:pPr>
              <w:pStyle w:val="ListParagraph"/>
              <w:numPr>
                <w:ilvl w:val="0"/>
                <w:numId w:val="2"/>
              </w:numPr>
              <w:rPr>
                <w:rFonts w:cstheme="minorHAnsi"/>
              </w:rPr>
            </w:pPr>
            <w:r w:rsidRPr="00634EAE">
              <w:rPr>
                <w:rFonts w:cstheme="minorHAnsi"/>
              </w:rPr>
              <w:t>HbA1c Good Control &lt;8%</w:t>
            </w:r>
          </w:p>
          <w:p w14:paraId="1BE8CF5A" w14:textId="77777777" w:rsidR="00721F85" w:rsidRPr="00634EAE" w:rsidRDefault="00721F85" w:rsidP="00721F85">
            <w:pPr>
              <w:pStyle w:val="ListParagraph"/>
              <w:numPr>
                <w:ilvl w:val="0"/>
                <w:numId w:val="2"/>
              </w:numPr>
              <w:rPr>
                <w:rFonts w:cstheme="minorHAnsi"/>
              </w:rPr>
            </w:pPr>
            <w:r w:rsidRPr="00634EAE">
              <w:rPr>
                <w:rFonts w:cstheme="minorHAnsi"/>
              </w:rPr>
              <w:t xml:space="preserve">HbA1c Poor Control &gt;9%  </w:t>
            </w:r>
          </w:p>
          <w:p w14:paraId="0317763C" w14:textId="0E5F2169" w:rsidR="00FF50A2" w:rsidRPr="00FF50A2" w:rsidRDefault="00FF50A2" w:rsidP="00FF50A2">
            <w:pPr>
              <w:pStyle w:val="TableParagraph"/>
              <w:numPr>
                <w:ilvl w:val="0"/>
                <w:numId w:val="2"/>
              </w:numPr>
              <w:ind w:right="70"/>
            </w:pPr>
            <w:r>
              <w:rPr>
                <w:rFonts w:cstheme="minorHAnsi"/>
              </w:rPr>
              <w:t xml:space="preserve">HbA1c Testing </w:t>
            </w:r>
            <w:r w:rsidR="00004ACF">
              <w:rPr>
                <w:rFonts w:cstheme="minorHAnsi"/>
              </w:rPr>
              <w:t>(2 tests per 12 months)</w:t>
            </w:r>
          </w:p>
          <w:p w14:paraId="361F8BE7" w14:textId="77777777" w:rsidR="00FF50A2" w:rsidRDefault="00FF50A2" w:rsidP="00FF50A2">
            <w:pPr>
              <w:pStyle w:val="TableParagraph"/>
              <w:ind w:right="70"/>
              <w:rPr>
                <w:rFonts w:cstheme="minorHAnsi"/>
              </w:rPr>
            </w:pPr>
          </w:p>
          <w:p w14:paraId="7511983D" w14:textId="1AFC2341" w:rsidR="00FF50A2" w:rsidRDefault="00FF50A2" w:rsidP="00A90058">
            <w:pPr>
              <w:pStyle w:val="TableParagraph"/>
              <w:ind w:right="70"/>
            </w:pPr>
            <w:r w:rsidRPr="00FF50A2">
              <w:rPr>
                <w:rFonts w:cstheme="minorHAnsi"/>
                <w:sz w:val="18"/>
              </w:rPr>
              <w:t>*</w:t>
            </w:r>
            <w:r w:rsidRPr="00FF50A2">
              <w:rPr>
                <w:sz w:val="18"/>
              </w:rPr>
              <w:t xml:space="preserve"> IHA </w:t>
            </w:r>
            <w:r w:rsidR="00BA7DCC">
              <w:rPr>
                <w:sz w:val="18"/>
              </w:rPr>
              <w:t>VB</w:t>
            </w:r>
            <w:r w:rsidRPr="00FF50A2">
              <w:rPr>
                <w:sz w:val="18"/>
              </w:rPr>
              <w:t>P4P benchmark rates (HbA1c Good Control: 64.6%; HbA1c Poor Control</w:t>
            </w:r>
            <w:r w:rsidR="00A90058">
              <w:rPr>
                <w:sz w:val="18"/>
              </w:rPr>
              <w:t>:</w:t>
            </w:r>
            <w:r w:rsidRPr="00FF50A2">
              <w:rPr>
                <w:sz w:val="18"/>
              </w:rPr>
              <w:t xml:space="preserve"> 22.3%; HbA1c Testing: 66.9%)</w:t>
            </w:r>
          </w:p>
        </w:tc>
        <w:tc>
          <w:tcPr>
            <w:tcW w:w="2785" w:type="dxa"/>
          </w:tcPr>
          <w:p w14:paraId="2F99DC45" w14:textId="55E126BD" w:rsidR="00721F85" w:rsidRDefault="00BA7DCC" w:rsidP="00634EAE">
            <w:pPr>
              <w:pStyle w:val="TableParagraph"/>
              <w:ind w:right="70"/>
            </w:pPr>
            <w:r>
              <w:t>Provider Organization reported results data</w:t>
            </w:r>
          </w:p>
          <w:p w14:paraId="3CA410D8" w14:textId="77777777" w:rsidR="00FF50A2" w:rsidRDefault="00FF50A2" w:rsidP="00634EAE">
            <w:pPr>
              <w:pStyle w:val="TableParagraph"/>
              <w:ind w:right="70"/>
            </w:pPr>
          </w:p>
          <w:p w14:paraId="3F0A4702" w14:textId="5AD5EEA2" w:rsidR="00FF50A2" w:rsidRDefault="00FF50A2" w:rsidP="00FF50A2">
            <w:pPr>
              <w:pStyle w:val="TableParagraph"/>
              <w:ind w:right="70"/>
            </w:pPr>
          </w:p>
        </w:tc>
      </w:tr>
      <w:tr w:rsidR="00721F85" w14:paraId="5A9BFDF0" w14:textId="77777777" w:rsidTr="00847017">
        <w:tc>
          <w:tcPr>
            <w:tcW w:w="7942" w:type="dxa"/>
          </w:tcPr>
          <w:p w14:paraId="1216F026" w14:textId="56E69679" w:rsidR="00721F85" w:rsidRDefault="00721F85" w:rsidP="00721F85">
            <w:pPr>
              <w:pStyle w:val="ListParagraph"/>
              <w:numPr>
                <w:ilvl w:val="0"/>
                <w:numId w:val="1"/>
              </w:numPr>
            </w:pPr>
            <w:r>
              <w:t xml:space="preserve">Mastering the implementation &amp; operation of the following care processes: </w:t>
            </w:r>
          </w:p>
          <w:p w14:paraId="15078EEA" w14:textId="39980E5B" w:rsidR="00721F85" w:rsidRPr="00165498" w:rsidRDefault="00721F85" w:rsidP="00721F85">
            <w:pPr>
              <w:pStyle w:val="TableParagraph"/>
              <w:numPr>
                <w:ilvl w:val="0"/>
                <w:numId w:val="3"/>
              </w:numPr>
            </w:pPr>
            <w:r w:rsidRPr="00165498">
              <w:t>Practice</w:t>
            </w:r>
            <w:r w:rsidRPr="00165498">
              <w:rPr>
                <w:spacing w:val="-1"/>
              </w:rPr>
              <w:t xml:space="preserve"> </w:t>
            </w:r>
            <w:r w:rsidRPr="00165498">
              <w:t>can</w:t>
            </w:r>
            <w:r w:rsidRPr="00165498">
              <w:rPr>
                <w:spacing w:val="-1"/>
              </w:rPr>
              <w:t xml:space="preserve"> </w:t>
            </w:r>
            <w:r w:rsidRPr="00165498">
              <w:t>demonstrate</w:t>
            </w:r>
            <w:r w:rsidRPr="00165498">
              <w:rPr>
                <w:spacing w:val="-1"/>
              </w:rPr>
              <w:t xml:space="preserve"> </w:t>
            </w:r>
            <w:r w:rsidRPr="00165498">
              <w:t>that</w:t>
            </w:r>
            <w:r w:rsidRPr="00165498">
              <w:rPr>
                <w:spacing w:val="-1"/>
              </w:rPr>
              <w:t xml:space="preserve"> </w:t>
            </w:r>
            <w:r w:rsidRPr="00165498">
              <w:t>it</w:t>
            </w:r>
            <w:r w:rsidRPr="00165498">
              <w:rPr>
                <w:spacing w:val="-1"/>
              </w:rPr>
              <w:t xml:space="preserve"> </w:t>
            </w:r>
            <w:r w:rsidRPr="00165498">
              <w:t>encourages</w:t>
            </w:r>
            <w:r w:rsidRPr="00165498">
              <w:rPr>
                <w:spacing w:val="-1"/>
              </w:rPr>
              <w:t xml:space="preserve"> </w:t>
            </w:r>
            <w:r w:rsidRPr="00165498">
              <w:t>patients</w:t>
            </w:r>
            <w:r w:rsidRPr="00165498">
              <w:rPr>
                <w:spacing w:val="-1"/>
              </w:rPr>
              <w:t xml:space="preserve"> </w:t>
            </w:r>
            <w:r w:rsidRPr="00165498">
              <w:t>and</w:t>
            </w:r>
            <w:r w:rsidRPr="00165498">
              <w:rPr>
                <w:spacing w:val="-1"/>
              </w:rPr>
              <w:t xml:space="preserve"> </w:t>
            </w:r>
            <w:r w:rsidRPr="00165498">
              <w:t>families</w:t>
            </w:r>
            <w:r w:rsidRPr="00165498">
              <w:rPr>
                <w:spacing w:val="-1"/>
              </w:rPr>
              <w:t xml:space="preserve"> </w:t>
            </w:r>
            <w:r w:rsidRPr="00165498">
              <w:t>to</w:t>
            </w:r>
            <w:r w:rsidRPr="00165498">
              <w:rPr>
                <w:spacing w:val="-1"/>
              </w:rPr>
              <w:t xml:space="preserve"> </w:t>
            </w:r>
            <w:r w:rsidRPr="00165498">
              <w:t>collaborate</w:t>
            </w:r>
            <w:r w:rsidRPr="00165498">
              <w:rPr>
                <w:spacing w:val="-1"/>
              </w:rPr>
              <w:t xml:space="preserve"> </w:t>
            </w:r>
            <w:r w:rsidRPr="00165498">
              <w:t>in goal</w:t>
            </w:r>
            <w:r w:rsidRPr="00165498">
              <w:rPr>
                <w:spacing w:val="-1"/>
              </w:rPr>
              <w:t xml:space="preserve"> </w:t>
            </w:r>
            <w:r w:rsidRPr="00165498">
              <w:t>setting,</w:t>
            </w:r>
            <w:r w:rsidRPr="00165498">
              <w:rPr>
                <w:spacing w:val="-1"/>
              </w:rPr>
              <w:t xml:space="preserve"> </w:t>
            </w:r>
            <w:r w:rsidRPr="00165498">
              <w:t>decision</w:t>
            </w:r>
            <w:r w:rsidRPr="00165498">
              <w:rPr>
                <w:spacing w:val="-1"/>
              </w:rPr>
              <w:t xml:space="preserve"> </w:t>
            </w:r>
            <w:r w:rsidRPr="00165498">
              <w:t>making</w:t>
            </w:r>
            <w:r w:rsidRPr="00165498">
              <w:rPr>
                <w:spacing w:val="-1"/>
              </w:rPr>
              <w:t xml:space="preserve"> </w:t>
            </w:r>
            <w:r w:rsidRPr="00165498">
              <w:t>and</w:t>
            </w:r>
            <w:r w:rsidRPr="00165498">
              <w:rPr>
                <w:spacing w:val="-1"/>
              </w:rPr>
              <w:t xml:space="preserve"> </w:t>
            </w:r>
            <w:r w:rsidRPr="00165498">
              <w:t>self</w:t>
            </w:r>
            <w:r w:rsidRPr="00165498">
              <w:rPr>
                <w:spacing w:val="-1"/>
              </w:rPr>
              <w:t>-</w:t>
            </w:r>
            <w:r>
              <w:t>management. (M</w:t>
            </w:r>
            <w:r w:rsidR="005D21C8">
              <w:t xml:space="preserve">ilestone </w:t>
            </w:r>
            <w:r>
              <w:t>4)</w:t>
            </w:r>
          </w:p>
          <w:p w14:paraId="5E0267D2" w14:textId="196B8FE7" w:rsidR="00721F85" w:rsidRDefault="00721F85" w:rsidP="00721F85">
            <w:pPr>
              <w:pStyle w:val="TableParagraph"/>
              <w:numPr>
                <w:ilvl w:val="0"/>
                <w:numId w:val="3"/>
              </w:numPr>
            </w:pPr>
            <w:r w:rsidRPr="00165498">
              <w:t>Practice</w:t>
            </w:r>
            <w:r w:rsidRPr="00165498">
              <w:rPr>
                <w:spacing w:val="-1"/>
              </w:rPr>
              <w:t xml:space="preserve"> </w:t>
            </w:r>
            <w:r w:rsidRPr="00165498">
              <w:t>provides</w:t>
            </w:r>
            <w:r w:rsidRPr="00165498">
              <w:rPr>
                <w:spacing w:val="-1"/>
              </w:rPr>
              <w:t xml:space="preserve"> </w:t>
            </w:r>
            <w:r w:rsidRPr="00165498">
              <w:t>care</w:t>
            </w:r>
            <w:r w:rsidRPr="00165498">
              <w:rPr>
                <w:spacing w:val="-1"/>
              </w:rPr>
              <w:t xml:space="preserve"> </w:t>
            </w:r>
            <w:r w:rsidRPr="00165498">
              <w:t>management</w:t>
            </w:r>
            <w:r w:rsidRPr="00165498">
              <w:rPr>
                <w:spacing w:val="-1"/>
              </w:rPr>
              <w:t xml:space="preserve"> </w:t>
            </w:r>
            <w:r w:rsidRPr="00165498">
              <w:t>for</w:t>
            </w:r>
            <w:r w:rsidRPr="00165498">
              <w:rPr>
                <w:spacing w:val="-1"/>
              </w:rPr>
              <w:t xml:space="preserve"> </w:t>
            </w:r>
            <w:r w:rsidRPr="00165498">
              <w:t>patients</w:t>
            </w:r>
            <w:r w:rsidRPr="00165498">
              <w:rPr>
                <w:spacing w:val="-1"/>
              </w:rPr>
              <w:t xml:space="preserve"> </w:t>
            </w:r>
            <w:r w:rsidRPr="00165498">
              <w:t>at</w:t>
            </w:r>
            <w:r w:rsidRPr="00165498">
              <w:rPr>
                <w:spacing w:val="-1"/>
              </w:rPr>
              <w:t xml:space="preserve"> </w:t>
            </w:r>
            <w:r w:rsidRPr="00165498">
              <w:t>highest-risk</w:t>
            </w:r>
            <w:r w:rsidRPr="00165498">
              <w:rPr>
                <w:spacing w:val="-1"/>
              </w:rPr>
              <w:t xml:space="preserve"> </w:t>
            </w:r>
            <w:r w:rsidRPr="00165498">
              <w:t>for</w:t>
            </w:r>
            <w:r w:rsidRPr="00165498">
              <w:rPr>
                <w:spacing w:val="-1"/>
              </w:rPr>
              <w:t xml:space="preserve"> </w:t>
            </w:r>
            <w:r>
              <w:t>hospitalizations. (M</w:t>
            </w:r>
            <w:r w:rsidR="005D21C8">
              <w:t xml:space="preserve">ilestone </w:t>
            </w:r>
            <w:r>
              <w:t>10)</w:t>
            </w:r>
          </w:p>
          <w:p w14:paraId="1D55C1B3" w14:textId="4E7C5866" w:rsidR="00721F85" w:rsidRDefault="00721F85" w:rsidP="00721F85">
            <w:pPr>
              <w:pStyle w:val="TableParagraph"/>
              <w:numPr>
                <w:ilvl w:val="0"/>
                <w:numId w:val="3"/>
              </w:numPr>
            </w:pPr>
            <w:r w:rsidRPr="00165498">
              <w:t>Practice</w:t>
            </w:r>
            <w:r w:rsidRPr="00165498">
              <w:rPr>
                <w:spacing w:val="-1"/>
              </w:rPr>
              <w:t xml:space="preserve"> </w:t>
            </w:r>
            <w:r w:rsidRPr="00165498">
              <w:t>uses</w:t>
            </w:r>
            <w:r w:rsidRPr="00165498">
              <w:rPr>
                <w:spacing w:val="-1"/>
              </w:rPr>
              <w:t xml:space="preserve"> </w:t>
            </w:r>
            <w:r w:rsidRPr="00165498">
              <w:t>an</w:t>
            </w:r>
            <w:r w:rsidRPr="00165498">
              <w:rPr>
                <w:spacing w:val="-1"/>
              </w:rPr>
              <w:t xml:space="preserve"> </w:t>
            </w:r>
            <w:r w:rsidRPr="00165498">
              <w:t>organized</w:t>
            </w:r>
            <w:r w:rsidRPr="00165498">
              <w:rPr>
                <w:spacing w:val="-1"/>
              </w:rPr>
              <w:t xml:space="preserve"> </w:t>
            </w:r>
            <w:r w:rsidRPr="00165498">
              <w:t>approach</w:t>
            </w:r>
            <w:r w:rsidRPr="00165498">
              <w:rPr>
                <w:spacing w:val="-1"/>
              </w:rPr>
              <w:t xml:space="preserve"> </w:t>
            </w:r>
            <w:r w:rsidRPr="00165498">
              <w:t>(PDSAs)</w:t>
            </w:r>
            <w:r w:rsidRPr="00165498">
              <w:rPr>
                <w:spacing w:val="-1"/>
              </w:rPr>
              <w:t xml:space="preserve"> </w:t>
            </w:r>
            <w:r w:rsidRPr="00165498">
              <w:t>to</w:t>
            </w:r>
            <w:r w:rsidRPr="00165498">
              <w:rPr>
                <w:spacing w:val="-1"/>
              </w:rPr>
              <w:t xml:space="preserve"> </w:t>
            </w:r>
            <w:r w:rsidRPr="00165498">
              <w:t>identify</w:t>
            </w:r>
            <w:r w:rsidRPr="00165498">
              <w:rPr>
                <w:spacing w:val="-1"/>
              </w:rPr>
              <w:t xml:space="preserve"> </w:t>
            </w:r>
            <w:r w:rsidRPr="00165498">
              <w:t>and</w:t>
            </w:r>
            <w:r w:rsidRPr="00165498">
              <w:rPr>
                <w:spacing w:val="-1"/>
              </w:rPr>
              <w:t xml:space="preserve"> </w:t>
            </w:r>
            <w:r w:rsidRPr="00165498">
              <w:t>act</w:t>
            </w:r>
            <w:r w:rsidRPr="00165498">
              <w:rPr>
                <w:spacing w:val="-1"/>
              </w:rPr>
              <w:t xml:space="preserve"> </w:t>
            </w:r>
            <w:r w:rsidRPr="00165498">
              <w:t>on</w:t>
            </w:r>
            <w:r w:rsidRPr="00165498">
              <w:rPr>
                <w:spacing w:val="-1"/>
              </w:rPr>
              <w:t xml:space="preserve"> </w:t>
            </w:r>
            <w:r w:rsidRPr="00165498">
              <w:t>improvement opportunities.</w:t>
            </w:r>
            <w:r>
              <w:t xml:space="preserve"> (M</w:t>
            </w:r>
            <w:r w:rsidR="005D21C8">
              <w:t xml:space="preserve">ilestone </w:t>
            </w:r>
            <w:r>
              <w:t>19)</w:t>
            </w:r>
          </w:p>
          <w:p w14:paraId="7DF4C4C5" w14:textId="135825D6" w:rsidR="00721F85" w:rsidRDefault="00721F85" w:rsidP="00721F85">
            <w:pPr>
              <w:pStyle w:val="TableParagraph"/>
              <w:numPr>
                <w:ilvl w:val="0"/>
                <w:numId w:val="3"/>
              </w:numPr>
              <w:rPr>
                <w:rFonts w:eastAsia="Arial" w:cs="Arial"/>
              </w:rPr>
            </w:pPr>
            <w:r w:rsidRPr="00165498">
              <w:t>Practice</w:t>
            </w:r>
            <w:r w:rsidRPr="00165498">
              <w:rPr>
                <w:spacing w:val="-1"/>
              </w:rPr>
              <w:t xml:space="preserve"> </w:t>
            </w:r>
            <w:r w:rsidRPr="00165498">
              <w:t>builds</w:t>
            </w:r>
            <w:r w:rsidRPr="00165498">
              <w:rPr>
                <w:spacing w:val="-1"/>
              </w:rPr>
              <w:t xml:space="preserve"> </w:t>
            </w:r>
            <w:r w:rsidRPr="00165498">
              <w:t>QI</w:t>
            </w:r>
            <w:r w:rsidRPr="00165498">
              <w:rPr>
                <w:spacing w:val="-1"/>
              </w:rPr>
              <w:t xml:space="preserve"> </w:t>
            </w:r>
            <w:r w:rsidRPr="00165498">
              <w:t>capabilities</w:t>
            </w:r>
            <w:r w:rsidRPr="00165498">
              <w:rPr>
                <w:spacing w:val="-1"/>
              </w:rPr>
              <w:t xml:space="preserve"> </w:t>
            </w:r>
            <w:r w:rsidRPr="00165498">
              <w:t>in</w:t>
            </w:r>
            <w:r w:rsidRPr="00165498">
              <w:rPr>
                <w:spacing w:val="-1"/>
              </w:rPr>
              <w:t xml:space="preserve"> </w:t>
            </w:r>
            <w:r w:rsidRPr="00165498">
              <w:t>the</w:t>
            </w:r>
            <w:r w:rsidRPr="00165498">
              <w:rPr>
                <w:spacing w:val="-1"/>
              </w:rPr>
              <w:t xml:space="preserve"> </w:t>
            </w:r>
            <w:r w:rsidRPr="00165498">
              <w:t>practice</w:t>
            </w:r>
            <w:r w:rsidRPr="00165498">
              <w:rPr>
                <w:spacing w:val="-1"/>
              </w:rPr>
              <w:t xml:space="preserve"> </w:t>
            </w:r>
            <w:r w:rsidRPr="00165498">
              <w:t>and</w:t>
            </w:r>
            <w:r w:rsidRPr="00165498">
              <w:rPr>
                <w:spacing w:val="-1"/>
              </w:rPr>
              <w:t xml:space="preserve"> </w:t>
            </w:r>
            <w:r w:rsidRPr="00165498">
              <w:t>empowers</w:t>
            </w:r>
            <w:r w:rsidRPr="00165498">
              <w:rPr>
                <w:spacing w:val="-1"/>
              </w:rPr>
              <w:t xml:space="preserve"> </w:t>
            </w:r>
            <w:r w:rsidRPr="00165498">
              <w:t>staff</w:t>
            </w:r>
            <w:r w:rsidRPr="00165498">
              <w:rPr>
                <w:spacing w:val="-1"/>
              </w:rPr>
              <w:t xml:space="preserve"> </w:t>
            </w:r>
            <w:r w:rsidRPr="00165498">
              <w:t>to</w:t>
            </w:r>
            <w:r w:rsidRPr="00165498">
              <w:rPr>
                <w:spacing w:val="-1"/>
              </w:rPr>
              <w:t xml:space="preserve"> </w:t>
            </w:r>
            <w:r w:rsidRPr="00165498">
              <w:t>innovate</w:t>
            </w:r>
            <w:r w:rsidRPr="00165498">
              <w:rPr>
                <w:spacing w:val="-1"/>
              </w:rPr>
              <w:t xml:space="preserve"> </w:t>
            </w:r>
            <w:r w:rsidRPr="00165498">
              <w:t>and improve</w:t>
            </w:r>
            <w:r w:rsidRPr="00165498">
              <w:rPr>
                <w:rFonts w:eastAsia="Arial" w:cs="Arial"/>
              </w:rPr>
              <w:t>.</w:t>
            </w:r>
            <w:r>
              <w:rPr>
                <w:rFonts w:eastAsia="Arial" w:cs="Arial"/>
              </w:rPr>
              <w:t xml:space="preserve"> (M</w:t>
            </w:r>
            <w:r w:rsidR="005D21C8">
              <w:rPr>
                <w:rFonts w:eastAsia="Arial" w:cs="Arial"/>
              </w:rPr>
              <w:t xml:space="preserve">ilestone </w:t>
            </w:r>
            <w:r>
              <w:rPr>
                <w:rFonts w:eastAsia="Arial" w:cs="Arial"/>
              </w:rPr>
              <w:t>20)</w:t>
            </w:r>
          </w:p>
          <w:p w14:paraId="322DA41E" w14:textId="37B041FC" w:rsidR="00721F85" w:rsidRDefault="00721F85" w:rsidP="00721F85">
            <w:pPr>
              <w:pStyle w:val="TableParagraph"/>
              <w:numPr>
                <w:ilvl w:val="0"/>
                <w:numId w:val="3"/>
              </w:numPr>
            </w:pPr>
            <w:r w:rsidRPr="00165498">
              <w:t>Practice</w:t>
            </w:r>
            <w:r w:rsidRPr="00165498">
              <w:rPr>
                <w:spacing w:val="-1"/>
              </w:rPr>
              <w:t xml:space="preserve"> </w:t>
            </w:r>
            <w:r w:rsidRPr="00165498">
              <w:t>regularly</w:t>
            </w:r>
            <w:r w:rsidRPr="00165498">
              <w:rPr>
                <w:spacing w:val="-1"/>
              </w:rPr>
              <w:t xml:space="preserve"> </w:t>
            </w:r>
            <w:r w:rsidRPr="00165498">
              <w:t>produces</w:t>
            </w:r>
            <w:r w:rsidRPr="00165498">
              <w:rPr>
                <w:spacing w:val="-1"/>
              </w:rPr>
              <w:t xml:space="preserve"> </w:t>
            </w:r>
            <w:r w:rsidRPr="00165498">
              <w:t>an</w:t>
            </w:r>
            <w:bookmarkStart w:id="0" w:name="_GoBack"/>
            <w:bookmarkEnd w:id="0"/>
            <w:r w:rsidRPr="00165498">
              <w:t>d</w:t>
            </w:r>
            <w:r w:rsidRPr="00165498">
              <w:rPr>
                <w:spacing w:val="-1"/>
              </w:rPr>
              <w:t xml:space="preserve"> </w:t>
            </w:r>
            <w:r w:rsidRPr="00165498">
              <w:t>shares</w:t>
            </w:r>
            <w:r w:rsidRPr="00165498">
              <w:rPr>
                <w:spacing w:val="-1"/>
              </w:rPr>
              <w:t xml:space="preserve"> </w:t>
            </w:r>
            <w:r w:rsidRPr="00165498">
              <w:t>reports</w:t>
            </w:r>
            <w:r w:rsidRPr="00165498">
              <w:rPr>
                <w:spacing w:val="-1"/>
              </w:rPr>
              <w:t xml:space="preserve"> </w:t>
            </w:r>
            <w:r w:rsidRPr="00165498">
              <w:t>performance</w:t>
            </w:r>
            <w:r w:rsidRPr="00165498">
              <w:rPr>
                <w:spacing w:val="-1"/>
              </w:rPr>
              <w:t xml:space="preserve"> </w:t>
            </w:r>
            <w:r w:rsidRPr="00165498">
              <w:t>at</w:t>
            </w:r>
            <w:r w:rsidRPr="00165498">
              <w:rPr>
                <w:spacing w:val="-1"/>
              </w:rPr>
              <w:t xml:space="preserve"> </w:t>
            </w:r>
            <w:r w:rsidRPr="00165498">
              <w:t>both</w:t>
            </w:r>
            <w:r w:rsidRPr="00165498">
              <w:rPr>
                <w:spacing w:val="-1"/>
              </w:rPr>
              <w:t xml:space="preserve"> </w:t>
            </w:r>
            <w:r w:rsidRPr="00165498">
              <w:t>the organization</w:t>
            </w:r>
            <w:r w:rsidRPr="00165498">
              <w:rPr>
                <w:spacing w:val="-1"/>
              </w:rPr>
              <w:t xml:space="preserve"> </w:t>
            </w:r>
            <w:r w:rsidRPr="00165498">
              <w:t>and</w:t>
            </w:r>
            <w:r w:rsidRPr="00165498">
              <w:rPr>
                <w:spacing w:val="-1"/>
              </w:rPr>
              <w:t xml:space="preserve"> </w:t>
            </w:r>
            <w:r w:rsidRPr="00165498">
              <w:t>provider/care</w:t>
            </w:r>
            <w:r w:rsidRPr="00165498">
              <w:rPr>
                <w:spacing w:val="-1"/>
              </w:rPr>
              <w:t xml:space="preserve"> </w:t>
            </w:r>
            <w:r w:rsidRPr="00165498">
              <w:t>team</w:t>
            </w:r>
            <w:r w:rsidRPr="00165498">
              <w:rPr>
                <w:spacing w:val="-1"/>
              </w:rPr>
              <w:t xml:space="preserve"> </w:t>
            </w:r>
            <w:r w:rsidRPr="00165498">
              <w:t>level.</w:t>
            </w:r>
            <w:r>
              <w:t xml:space="preserve"> (M</w:t>
            </w:r>
            <w:r w:rsidR="005D21C8">
              <w:t xml:space="preserve">ilestone </w:t>
            </w:r>
            <w:r>
              <w:t>21)</w:t>
            </w:r>
          </w:p>
          <w:p w14:paraId="712C97CB" w14:textId="77777777" w:rsidR="00721F85" w:rsidRDefault="00721F85" w:rsidP="00634EAE">
            <w:pPr>
              <w:pStyle w:val="TableParagraph"/>
              <w:ind w:right="70"/>
            </w:pPr>
          </w:p>
        </w:tc>
        <w:tc>
          <w:tcPr>
            <w:tcW w:w="2785" w:type="dxa"/>
          </w:tcPr>
          <w:p w14:paraId="2F15FCB5" w14:textId="2065207C" w:rsidR="00721F85" w:rsidRPr="00721F85" w:rsidRDefault="00721F85" w:rsidP="00721F85">
            <w:pPr>
              <w:rPr>
                <w:sz w:val="22"/>
              </w:rPr>
            </w:pPr>
            <w:r w:rsidRPr="00721F85">
              <w:rPr>
                <w:sz w:val="22"/>
              </w:rPr>
              <w:t xml:space="preserve">Demonstrated by a score of 3 on </w:t>
            </w:r>
            <w:r w:rsidR="00004ACF">
              <w:rPr>
                <w:sz w:val="22"/>
              </w:rPr>
              <w:t xml:space="preserve">at least 3 of </w:t>
            </w:r>
            <w:r w:rsidRPr="00721F85">
              <w:rPr>
                <w:sz w:val="22"/>
              </w:rPr>
              <w:t>the corresponding PAT milestones</w:t>
            </w:r>
            <w:r w:rsidR="00004ACF">
              <w:rPr>
                <w:sz w:val="22"/>
              </w:rPr>
              <w:t>; no lower than score of 2 on any</w:t>
            </w:r>
          </w:p>
          <w:p w14:paraId="56C83B69" w14:textId="77777777" w:rsidR="00721F85" w:rsidRDefault="00721F85" w:rsidP="00634EAE">
            <w:pPr>
              <w:pStyle w:val="TableParagraph"/>
              <w:ind w:right="70"/>
            </w:pPr>
          </w:p>
        </w:tc>
      </w:tr>
      <w:tr w:rsidR="00721F85" w14:paraId="34CCC177" w14:textId="77777777" w:rsidTr="00847017">
        <w:tc>
          <w:tcPr>
            <w:tcW w:w="7942" w:type="dxa"/>
          </w:tcPr>
          <w:p w14:paraId="2D69D560" w14:textId="6E9E762D" w:rsidR="00721F85" w:rsidRDefault="00721F85" w:rsidP="00721F85">
            <w:pPr>
              <w:pStyle w:val="ListParagraph"/>
              <w:numPr>
                <w:ilvl w:val="0"/>
                <w:numId w:val="1"/>
              </w:numPr>
            </w:pPr>
            <w:r>
              <w:t>Team-based care effectively pr</w:t>
            </w:r>
            <w:r w:rsidR="009A76A6">
              <w:t>acticed</w:t>
            </w:r>
            <w:r>
              <w:t xml:space="preserve"> as evidenced by use of standing orders and daily team huddles.</w:t>
            </w:r>
          </w:p>
        </w:tc>
        <w:tc>
          <w:tcPr>
            <w:tcW w:w="2785" w:type="dxa"/>
          </w:tcPr>
          <w:p w14:paraId="502BA103" w14:textId="502890DC" w:rsidR="00721F85" w:rsidRDefault="009A76A6" w:rsidP="00634EAE">
            <w:pPr>
              <w:pStyle w:val="TableParagraph"/>
              <w:ind w:right="70"/>
            </w:pPr>
            <w:r>
              <w:t>Observation by Practice Facilitator</w:t>
            </w:r>
          </w:p>
        </w:tc>
      </w:tr>
      <w:tr w:rsidR="00721F85" w14:paraId="7E69B655" w14:textId="77777777" w:rsidTr="00847017">
        <w:tc>
          <w:tcPr>
            <w:tcW w:w="7942" w:type="dxa"/>
          </w:tcPr>
          <w:p w14:paraId="0362CADB" w14:textId="77777777" w:rsidR="00721F85" w:rsidRDefault="00721F85" w:rsidP="00721F85">
            <w:pPr>
              <w:pStyle w:val="ListParagraph"/>
              <w:numPr>
                <w:ilvl w:val="0"/>
                <w:numId w:val="1"/>
              </w:numPr>
            </w:pPr>
            <w:r>
              <w:t>Evidence of innovative/learning mindset across the practice.</w:t>
            </w:r>
          </w:p>
          <w:p w14:paraId="2E26AFBF" w14:textId="2DAF871D" w:rsidR="009633F6" w:rsidRPr="009633F6" w:rsidRDefault="009633F6" w:rsidP="009633F6">
            <w:pPr>
              <w:ind w:left="364"/>
              <w:rPr>
                <w:i/>
              </w:rPr>
            </w:pPr>
            <w:r w:rsidRPr="009633F6">
              <w:rPr>
                <w:i/>
                <w:sz w:val="22"/>
              </w:rPr>
              <w:t>Question: How is ‘innovative/learning mindset’ manifested? How might a Practice Facilitator observe this in a practice?</w:t>
            </w:r>
          </w:p>
        </w:tc>
        <w:tc>
          <w:tcPr>
            <w:tcW w:w="2785" w:type="dxa"/>
          </w:tcPr>
          <w:p w14:paraId="1D311119" w14:textId="12B34B77" w:rsidR="00721F85" w:rsidRDefault="009A76A6" w:rsidP="009633F6">
            <w:pPr>
              <w:pStyle w:val="TableParagraph"/>
              <w:ind w:right="70"/>
            </w:pPr>
            <w:r>
              <w:t>Reported b</w:t>
            </w:r>
            <w:r w:rsidR="009633F6">
              <w:t xml:space="preserve">y Practice Facilitator </w:t>
            </w:r>
          </w:p>
        </w:tc>
      </w:tr>
      <w:tr w:rsidR="00721F85" w14:paraId="74670EC6" w14:textId="77777777" w:rsidTr="00847017">
        <w:tc>
          <w:tcPr>
            <w:tcW w:w="7942" w:type="dxa"/>
          </w:tcPr>
          <w:p w14:paraId="3884DB4F" w14:textId="6069D6F4" w:rsidR="00721F85" w:rsidRDefault="00721F85" w:rsidP="0019018C">
            <w:pPr>
              <w:pStyle w:val="TableParagraph"/>
              <w:numPr>
                <w:ilvl w:val="0"/>
                <w:numId w:val="1"/>
              </w:numPr>
              <w:ind w:right="70"/>
            </w:pPr>
            <w:r>
              <w:t xml:space="preserve">Utilization of centralized services made available to the practice within the healthcare system. (For example, services offered by health plans or independent </w:t>
            </w:r>
            <w:r w:rsidR="0019018C">
              <w:t>physician</w:t>
            </w:r>
            <w:r>
              <w:t xml:space="preserve"> associations </w:t>
            </w:r>
            <w:r w:rsidR="0019018C">
              <w:t xml:space="preserve">(IPAs) </w:t>
            </w:r>
            <w:r>
              <w:t>such as</w:t>
            </w:r>
            <w:r w:rsidR="0019018C">
              <w:t>:</w:t>
            </w:r>
            <w:r>
              <w:t xml:space="preserve"> practice facilitation; care management; ED data; </w:t>
            </w:r>
            <w:r w:rsidR="0019018C">
              <w:t xml:space="preserve">population health tools; data portals; </w:t>
            </w:r>
            <w:r>
              <w:t>performance reports; patient experience feedback; urgent care</w:t>
            </w:r>
            <w:r w:rsidR="0019018C">
              <w:t xml:space="preserve"> centers</w:t>
            </w:r>
            <w:r>
              <w:t>; nurse triage; central pharmacist).</w:t>
            </w:r>
          </w:p>
        </w:tc>
        <w:tc>
          <w:tcPr>
            <w:tcW w:w="2785" w:type="dxa"/>
          </w:tcPr>
          <w:p w14:paraId="5BDE2610" w14:textId="3CE37187" w:rsidR="00721F85" w:rsidRDefault="009A76A6" w:rsidP="00634EAE">
            <w:pPr>
              <w:pStyle w:val="TableParagraph"/>
              <w:ind w:right="70"/>
            </w:pPr>
            <w:r>
              <w:t>Reported by Provider Organization</w:t>
            </w:r>
          </w:p>
        </w:tc>
      </w:tr>
    </w:tbl>
    <w:p w14:paraId="1C6FDFDD" w14:textId="57682914" w:rsidR="00634EAE" w:rsidRPr="0019018C" w:rsidRDefault="00634EAE" w:rsidP="00721F85">
      <w:pPr>
        <w:rPr>
          <w:rFonts w:cstheme="minorHAnsi"/>
          <w:sz w:val="22"/>
        </w:rPr>
      </w:pPr>
    </w:p>
    <w:p w14:paraId="26999FA0" w14:textId="77777777" w:rsidR="0019018C" w:rsidRPr="0019018C" w:rsidRDefault="0019018C" w:rsidP="00721F85">
      <w:pPr>
        <w:rPr>
          <w:rFonts w:cstheme="minorHAnsi"/>
          <w:b/>
          <w:sz w:val="22"/>
        </w:rPr>
      </w:pPr>
      <w:r w:rsidRPr="0019018C">
        <w:rPr>
          <w:rFonts w:cstheme="minorHAnsi"/>
          <w:b/>
          <w:sz w:val="22"/>
        </w:rPr>
        <w:t>Check for obvious disqualifiers:</w:t>
      </w:r>
    </w:p>
    <w:p w14:paraId="484FDA21" w14:textId="77777777" w:rsidR="0019018C" w:rsidRPr="0019018C" w:rsidRDefault="0019018C" w:rsidP="0019018C">
      <w:pPr>
        <w:pStyle w:val="ListParagraph"/>
        <w:numPr>
          <w:ilvl w:val="0"/>
          <w:numId w:val="4"/>
        </w:numPr>
        <w:rPr>
          <w:rFonts w:cstheme="minorHAnsi"/>
        </w:rPr>
      </w:pPr>
      <w:r w:rsidRPr="0019018C">
        <w:rPr>
          <w:rFonts w:cstheme="minorHAnsi"/>
        </w:rPr>
        <w:t>Bankruptcy</w:t>
      </w:r>
    </w:p>
    <w:p w14:paraId="51FCC752" w14:textId="56032504" w:rsidR="0019018C" w:rsidRPr="0019018C" w:rsidRDefault="0019018C" w:rsidP="0019018C">
      <w:pPr>
        <w:pStyle w:val="ListParagraph"/>
        <w:numPr>
          <w:ilvl w:val="0"/>
          <w:numId w:val="4"/>
        </w:numPr>
        <w:rPr>
          <w:rFonts w:cstheme="minorHAnsi"/>
        </w:rPr>
      </w:pPr>
      <w:r w:rsidRPr="0019018C">
        <w:rPr>
          <w:rFonts w:cstheme="minorHAnsi"/>
        </w:rPr>
        <w:t>Fraud indictment</w:t>
      </w:r>
    </w:p>
    <w:p w14:paraId="5FEB03F1" w14:textId="6787985E" w:rsidR="0019018C" w:rsidRPr="0019018C" w:rsidRDefault="0019018C" w:rsidP="0019018C">
      <w:pPr>
        <w:pStyle w:val="ListParagraph"/>
        <w:numPr>
          <w:ilvl w:val="0"/>
          <w:numId w:val="4"/>
        </w:numPr>
        <w:rPr>
          <w:rFonts w:cstheme="minorHAnsi"/>
        </w:rPr>
      </w:pPr>
      <w:r w:rsidRPr="0019018C">
        <w:rPr>
          <w:rFonts w:cstheme="minorHAnsi"/>
        </w:rPr>
        <w:t>Lost accreditation</w:t>
      </w:r>
    </w:p>
    <w:p w14:paraId="51AFFCF1" w14:textId="77777777" w:rsidR="0019018C" w:rsidRPr="0019018C" w:rsidRDefault="0019018C" w:rsidP="00721F85">
      <w:pPr>
        <w:rPr>
          <w:rFonts w:cstheme="minorHAnsi"/>
          <w:sz w:val="22"/>
        </w:rPr>
      </w:pPr>
    </w:p>
    <w:p w14:paraId="03CBF602" w14:textId="49814E16" w:rsidR="00634EAE" w:rsidRPr="00634EAE" w:rsidRDefault="00634EAE" w:rsidP="0019018C">
      <w:pPr>
        <w:pStyle w:val="TableParagraph"/>
        <w:ind w:right="70"/>
        <w:rPr>
          <w:b/>
        </w:rPr>
      </w:pPr>
      <w:r w:rsidRPr="00634EAE">
        <w:rPr>
          <w:b/>
        </w:rPr>
        <w:t xml:space="preserve">Rationale for exemplary practice </w:t>
      </w:r>
      <w:r w:rsidR="00721F85">
        <w:rPr>
          <w:b/>
        </w:rPr>
        <w:t>criteria</w:t>
      </w:r>
      <w:r w:rsidRPr="00634EAE">
        <w:rPr>
          <w:b/>
        </w:rPr>
        <w:t>:</w:t>
      </w:r>
    </w:p>
    <w:p w14:paraId="01D2B4C8" w14:textId="2E61B7B3" w:rsidR="00D1010D" w:rsidRDefault="00E2629B" w:rsidP="00F45A28">
      <w:pPr>
        <w:pStyle w:val="TableParagraph"/>
        <w:ind w:right="70"/>
      </w:pPr>
      <w:r>
        <w:t xml:space="preserve">PTI </w:t>
      </w:r>
      <w:r w:rsidR="00634EAE">
        <w:t xml:space="preserve">identified these criteria through an analysis of clinical outcome </w:t>
      </w:r>
      <w:r w:rsidR="009A76A6">
        <w:t>and</w:t>
      </w:r>
      <w:r w:rsidR="00634EAE">
        <w:t xml:space="preserve"> utilization measure results and </w:t>
      </w:r>
      <w:r w:rsidR="009A76A6">
        <w:t>practice assessment</w:t>
      </w:r>
      <w:r w:rsidR="00634EAE">
        <w:t xml:space="preserve"> data</w:t>
      </w:r>
      <w:r w:rsidR="009A76A6">
        <w:t xml:space="preserve"> rating the implementation of transformation care processes</w:t>
      </w:r>
      <w:r w:rsidR="00634EAE">
        <w:t xml:space="preserve">. The analysis identified statistically significant relationships between </w:t>
      </w:r>
      <w:r w:rsidR="009A76A6">
        <w:t>certain</w:t>
      </w:r>
      <w:r w:rsidR="00634EAE">
        <w:t xml:space="preserve"> foundational </w:t>
      </w:r>
      <w:r w:rsidR="009A76A6">
        <w:t xml:space="preserve">processes (or </w:t>
      </w:r>
      <w:r w:rsidR="00634EAE">
        <w:t>milestones</w:t>
      </w:r>
      <w:r w:rsidR="009A76A6">
        <w:t>)</w:t>
      </w:r>
      <w:r w:rsidR="00634EAE">
        <w:t>, their level of implementation, and patient outcomes. Additionally, these milestones reflect wider adoption of key elements of the change package. For example, milestone 10 which focuses of the management of patients at high-risk of hospitalization</w:t>
      </w:r>
      <w:r w:rsidR="00682ABD">
        <w:t>,</w:t>
      </w:r>
      <w:r w:rsidR="00634EAE">
        <w:t xml:space="preserve"> cannot be fully implemented without the empanelment of the practice’s patient population. Finally, we recognize that our practices operate within a larger healthcare system and those being defined as ‘exemplary’ heavily utilize centralized resources made available through their payer and management relationships. </w:t>
      </w:r>
    </w:p>
    <w:sectPr w:rsidR="00D1010D" w:rsidSect="00F45A28">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F91B5" w14:textId="77777777" w:rsidR="00E753AD" w:rsidRDefault="00E753AD" w:rsidP="00F45A28">
      <w:r>
        <w:separator/>
      </w:r>
    </w:p>
  </w:endnote>
  <w:endnote w:type="continuationSeparator" w:id="0">
    <w:p w14:paraId="7DC4F771" w14:textId="77777777" w:rsidR="00E753AD" w:rsidRDefault="00E753AD" w:rsidP="00F4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18232" w14:textId="610D2333" w:rsidR="00F45A28" w:rsidRDefault="00F45A28">
    <w:pPr>
      <w:pStyle w:val="Footer"/>
    </w:pPr>
    <w:r>
      <w:rPr>
        <w:noProof/>
      </w:rPr>
      <w:drawing>
        <wp:inline distT="0" distB="0" distL="0" distR="0" wp14:anchorId="3D20D13D" wp14:editId="6E008B61">
          <wp:extent cx="1009650" cy="3047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C-Logo-noTag-CMYK.jpg"/>
                  <pic:cNvPicPr/>
                </pic:nvPicPr>
                <pic:blipFill>
                  <a:blip r:embed="rId1">
                    <a:extLst>
                      <a:ext uri="{28A0092B-C50C-407E-A947-70E740481C1C}">
                        <a14:useLocalDpi xmlns:a14="http://schemas.microsoft.com/office/drawing/2010/main" val="0"/>
                      </a:ext>
                    </a:extLst>
                  </a:blip>
                  <a:stretch>
                    <a:fillRect/>
                  </a:stretch>
                </pic:blipFill>
                <pic:spPr>
                  <a:xfrm>
                    <a:off x="0" y="0"/>
                    <a:ext cx="1075418" cy="324617"/>
                  </a:xfrm>
                  <a:prstGeom prst="rect">
                    <a:avLst/>
                  </a:prstGeom>
                </pic:spPr>
              </pic:pic>
            </a:graphicData>
          </a:graphic>
        </wp:inline>
      </w:drawing>
    </w:r>
  </w:p>
  <w:p w14:paraId="6F86ED7C" w14:textId="77777777" w:rsidR="00F45A28" w:rsidRDefault="00F45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E53EB" w14:textId="77777777" w:rsidR="00E753AD" w:rsidRDefault="00E753AD" w:rsidP="00F45A28">
      <w:r>
        <w:separator/>
      </w:r>
    </w:p>
  </w:footnote>
  <w:footnote w:type="continuationSeparator" w:id="0">
    <w:p w14:paraId="5ECB9025" w14:textId="77777777" w:rsidR="00E753AD" w:rsidRDefault="00E753AD" w:rsidP="00F45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5C9B"/>
    <w:multiLevelType w:val="hybridMultilevel"/>
    <w:tmpl w:val="DBFCEE8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A61C47"/>
    <w:multiLevelType w:val="hybridMultilevel"/>
    <w:tmpl w:val="0526D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EC43DA"/>
    <w:multiLevelType w:val="hybridMultilevel"/>
    <w:tmpl w:val="A2B8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A3052"/>
    <w:multiLevelType w:val="hybridMultilevel"/>
    <w:tmpl w:val="258E0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04ACF"/>
    <w:rsid w:val="000A1DE8"/>
    <w:rsid w:val="00105947"/>
    <w:rsid w:val="00146747"/>
    <w:rsid w:val="0019018C"/>
    <w:rsid w:val="00330345"/>
    <w:rsid w:val="003363D6"/>
    <w:rsid w:val="00526FEA"/>
    <w:rsid w:val="005924E5"/>
    <w:rsid w:val="005D21C8"/>
    <w:rsid w:val="00634EAE"/>
    <w:rsid w:val="00682ABD"/>
    <w:rsid w:val="006A2978"/>
    <w:rsid w:val="00721F85"/>
    <w:rsid w:val="00847017"/>
    <w:rsid w:val="009633F6"/>
    <w:rsid w:val="009A76A6"/>
    <w:rsid w:val="00A514FB"/>
    <w:rsid w:val="00A73E11"/>
    <w:rsid w:val="00A90058"/>
    <w:rsid w:val="00BA7DCC"/>
    <w:rsid w:val="00C34BBF"/>
    <w:rsid w:val="00CD76C8"/>
    <w:rsid w:val="00D1010D"/>
    <w:rsid w:val="00E2629B"/>
    <w:rsid w:val="00E753AD"/>
    <w:rsid w:val="00EE6E42"/>
    <w:rsid w:val="00F45A28"/>
    <w:rsid w:val="00FF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34EAE"/>
    <w:pPr>
      <w:widowControl w:val="0"/>
    </w:pPr>
    <w:rPr>
      <w:sz w:val="22"/>
      <w:szCs w:val="22"/>
    </w:rPr>
  </w:style>
  <w:style w:type="paragraph" w:customStyle="1" w:styleId="TableParagraph">
    <w:name w:val="Table Paragraph"/>
    <w:basedOn w:val="Normal"/>
    <w:uiPriority w:val="1"/>
    <w:qFormat/>
    <w:rsid w:val="00634EAE"/>
    <w:pPr>
      <w:widowControl w:val="0"/>
    </w:pPr>
    <w:rPr>
      <w:sz w:val="22"/>
      <w:szCs w:val="22"/>
    </w:rPr>
  </w:style>
  <w:style w:type="table" w:styleId="TableGrid">
    <w:name w:val="Table Grid"/>
    <w:basedOn w:val="TableNormal"/>
    <w:uiPriority w:val="39"/>
    <w:rsid w:val="0072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76A6"/>
    <w:rPr>
      <w:sz w:val="16"/>
      <w:szCs w:val="16"/>
    </w:rPr>
  </w:style>
  <w:style w:type="paragraph" w:styleId="CommentText">
    <w:name w:val="annotation text"/>
    <w:basedOn w:val="Normal"/>
    <w:link w:val="CommentTextChar"/>
    <w:uiPriority w:val="99"/>
    <w:semiHidden/>
    <w:unhideWhenUsed/>
    <w:rsid w:val="009A76A6"/>
    <w:rPr>
      <w:sz w:val="20"/>
      <w:szCs w:val="20"/>
    </w:rPr>
  </w:style>
  <w:style w:type="character" w:customStyle="1" w:styleId="CommentTextChar">
    <w:name w:val="Comment Text Char"/>
    <w:basedOn w:val="DefaultParagraphFont"/>
    <w:link w:val="CommentText"/>
    <w:uiPriority w:val="99"/>
    <w:semiHidden/>
    <w:rsid w:val="009A76A6"/>
    <w:rPr>
      <w:sz w:val="20"/>
      <w:szCs w:val="20"/>
    </w:rPr>
  </w:style>
  <w:style w:type="paragraph" w:styleId="CommentSubject">
    <w:name w:val="annotation subject"/>
    <w:basedOn w:val="CommentText"/>
    <w:next w:val="CommentText"/>
    <w:link w:val="CommentSubjectChar"/>
    <w:uiPriority w:val="99"/>
    <w:semiHidden/>
    <w:unhideWhenUsed/>
    <w:rsid w:val="009A76A6"/>
    <w:rPr>
      <w:b/>
      <w:bCs/>
    </w:rPr>
  </w:style>
  <w:style w:type="character" w:customStyle="1" w:styleId="CommentSubjectChar">
    <w:name w:val="Comment Subject Char"/>
    <w:basedOn w:val="CommentTextChar"/>
    <w:link w:val="CommentSubject"/>
    <w:uiPriority w:val="99"/>
    <w:semiHidden/>
    <w:rsid w:val="009A76A6"/>
    <w:rPr>
      <w:b/>
      <w:bCs/>
      <w:sz w:val="20"/>
      <w:szCs w:val="20"/>
    </w:rPr>
  </w:style>
  <w:style w:type="paragraph" w:styleId="BalloonText">
    <w:name w:val="Balloon Text"/>
    <w:basedOn w:val="Normal"/>
    <w:link w:val="BalloonTextChar"/>
    <w:uiPriority w:val="99"/>
    <w:semiHidden/>
    <w:unhideWhenUsed/>
    <w:rsid w:val="009A76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6A6"/>
    <w:rPr>
      <w:rFonts w:ascii="Segoe UI" w:hAnsi="Segoe UI" w:cs="Segoe UI"/>
      <w:sz w:val="18"/>
      <w:szCs w:val="18"/>
    </w:rPr>
  </w:style>
  <w:style w:type="paragraph" w:styleId="Header">
    <w:name w:val="header"/>
    <w:basedOn w:val="Normal"/>
    <w:link w:val="HeaderChar"/>
    <w:uiPriority w:val="99"/>
    <w:unhideWhenUsed/>
    <w:rsid w:val="00F45A28"/>
    <w:pPr>
      <w:tabs>
        <w:tab w:val="center" w:pos="4680"/>
        <w:tab w:val="right" w:pos="9360"/>
      </w:tabs>
    </w:pPr>
  </w:style>
  <w:style w:type="character" w:customStyle="1" w:styleId="HeaderChar">
    <w:name w:val="Header Char"/>
    <w:basedOn w:val="DefaultParagraphFont"/>
    <w:link w:val="Header"/>
    <w:uiPriority w:val="99"/>
    <w:rsid w:val="00F45A28"/>
  </w:style>
  <w:style w:type="paragraph" w:styleId="Footer">
    <w:name w:val="footer"/>
    <w:basedOn w:val="Normal"/>
    <w:link w:val="FooterChar"/>
    <w:uiPriority w:val="99"/>
    <w:unhideWhenUsed/>
    <w:rsid w:val="00F45A28"/>
    <w:pPr>
      <w:tabs>
        <w:tab w:val="center" w:pos="4680"/>
        <w:tab w:val="right" w:pos="9360"/>
      </w:tabs>
    </w:pPr>
  </w:style>
  <w:style w:type="character" w:customStyle="1" w:styleId="FooterChar">
    <w:name w:val="Footer Char"/>
    <w:basedOn w:val="DefaultParagraphFont"/>
    <w:link w:val="Footer"/>
    <w:uiPriority w:val="99"/>
    <w:rsid w:val="00F45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9185">
      <w:bodyDiv w:val="1"/>
      <w:marLeft w:val="0"/>
      <w:marRight w:val="0"/>
      <w:marTop w:val="0"/>
      <w:marBottom w:val="0"/>
      <w:divBdr>
        <w:top w:val="none" w:sz="0" w:space="0" w:color="auto"/>
        <w:left w:val="none" w:sz="0" w:space="0" w:color="auto"/>
        <w:bottom w:val="none" w:sz="0" w:space="0" w:color="auto"/>
        <w:right w:val="none" w:sz="0" w:space="0" w:color="auto"/>
      </w:divBdr>
    </w:div>
    <w:div w:id="1263881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PBGH</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Mah</cp:lastModifiedBy>
  <cp:revision>21</cp:revision>
  <dcterms:created xsi:type="dcterms:W3CDTF">2018-02-09T21:34:00Z</dcterms:created>
  <dcterms:modified xsi:type="dcterms:W3CDTF">2019-10-09T20:38:00Z</dcterms:modified>
</cp:coreProperties>
</file>